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635eb98dd48a9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8570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LJUDEVITA MODECA KRIŽEVCI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2.246.802,49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2.378.973,63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2.447.627,68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2.350.308,73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28.664,90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26.303,75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2.071,61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26.303,75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2.071,61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26.593,29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Ukupni prihodi u izvještajnom razdoblju tekuće godine ostvareni su u iznosu 2.378.973,63 eura što je 5,9% više u odnosu na prethodno izvještajno razdoblje. Najvećim dijelom više ostvareni prihodi odnose se na tekuće pomoći iz državnog proračuna za isplatu plaće, doprinosa, naknade za prijevoz i ostalih materijalnih prava te prihode iz nadležnog proračuna za potrebe financiranja rashoda poslovanja. Ukupni rashodi poslovanja ostvareni su u iznosu 2.350.308,73 eura što je 4% manje u odnosu  na rashode u prethodnom izvještajnom razdoblju. Vrijednosno najznačajnije smanjenje odnosi se na rashode za zaposlene uslijed ukidanja kontinuiranih rashoda prema novom Pravilniku. U razdoblju od 1. siječnja do 30. lipnja 2026. nema ostvarenih prihoda od prodaje nefinancijske imovine dok su rashodi za nabavu nefinancijske imovine ostvareni u iznosu 2.071,61 eura za nabavu neproizvedene (licenca) i proizvedene dugotrajne imovine (postrojenja i oprema).</w:t>
      </w:r>
    </w:p>
    <w:p>
      <w:r>
        <w:t xml:space="preserve">U razdoblju od 1. siječnja do 30. lipnja 2026. godine ostvaren je višak prihoda poslovanja u iznosu 28.664,90 eura, manjak prihoda od nefinancijske imovine u iznosu 2.071,61 eura, slijedom čega je na kraju izvještajnog razdoblja ostvaren ukupan višak prihoda i primitaka u iznosu 26.593,29 eura.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1.532.070,46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1.653.962,37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108,0</w:t>
            </w:r>
          </w:p>
        </w:tc>
      </w:tr>
    </w:tbl>
    <w:p>
      <w:pPr>
        <w:spacing w:before="0" w:after="0"/>
      </w:pPr>
    </w:p>
    <w:p>
      <w:r>
        <w:t xml:space="preserve">Ostvarene su tekuće pomoći iz državnog proračuna za isplatu plaća, doprinosa, naknade za prijevoz na posao i s posla, ostalih materijalnih prava zaposlenicima, novčane naknade zog neispunjenja obveze kvotnog zapošljavanja osoba s invaliditetom, sredstva za sufinanciranje troškova prehrane učenika, mjernih instrumenata (psiho-dijagnostičkih sredstva) u svrhu procjene funkcioniranja učenika, opskrbe besplatnim menstrualnim potrepštinama te financiranje županijskih stručnih vijeća razredne nastave, glazbene kulture i hrvatskog jezika. Ostvarena su i sredstva za financiranje županijskih natjecanja (povijest i Glazbene svečanosti) od Koprivničko-križevačke županije. U odnosu na razdoblje prethodne godine u istom razdoblju tekuće godine prihodi su ostvareni u većem iznosu najvećim dijelom zbog povećanja osnovice za izračun plaće prema Odluci o visini osnovice za obračun plaće zaposlenicima u javnim službama u 2026. godini (NN 11/26) od 30. siječnja 2026.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12.669,00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15.078,50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119,0</w:t>
            </w:r>
          </w:p>
        </w:tc>
      </w:tr>
    </w:tbl>
    <w:p>
      <w:pPr>
        <w:spacing w:before="0" w:after="0"/>
      </w:pPr>
    </w:p>
    <w:p>
      <w:r>
        <w:t xml:space="preserve">Ostvareni su prihodi za sufinanciranje cijene usluge produženog boravka u većem iznosu uslijed povećanja broja učenika koji koriste uslugu produženog boravka.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2.517,73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1.953,74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77,6</w:t>
            </w:r>
          </w:p>
        </w:tc>
      </w:tr>
    </w:tbl>
    <w:p>
      <w:pPr>
        <w:spacing w:before="0" w:after="0"/>
      </w:pPr>
    </w:p>
    <w:p>
      <w:r>
        <w:t xml:space="preserve">U izvještajnom razdoblju tekuće godine ostvareni prihodi u manjem iznosu uslijed ostvarenih prihoda za isporučenu električnu energiju u prethodnom izvještajnom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10.844,39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11.050,00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101,9</w:t>
            </w:r>
          </w:p>
        </w:tc>
      </w:tr>
    </w:tbl>
    <w:p>
      <w:pPr>
        <w:spacing w:before="0" w:after="0"/>
      </w:pPr>
    </w:p>
    <w:p>
      <w:r>
        <w:t xml:space="preserve">U izvještajnom razdoblju ostvareni prihodi od iznajmljivanja sportske dvorane  u većem iznosu u odnosu na razdoblje prethodne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3.010,00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3.830,00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127,2</w:t>
            </w:r>
          </w:p>
        </w:tc>
      </w:tr>
    </w:tbl>
    <w:p>
      <w:pPr>
        <w:spacing w:before="0" w:after="0"/>
      </w:pPr>
    </w:p>
    <w:p>
      <w:r>
        <w:t xml:space="preserve">U izvještajnom razdoblju godine ostvarena sredstva kojima je svrha određena od donatora – donacije od fizičkih osoba (plaćanje prijevoza na terensku nastavu).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10.122,20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izvještajnom razdoblju prethodne godine ostvarena kapitalna donacija za projekt Kad odrastem za nabavu opreme (prijenosnih računala i 3D printera) te od HEP-a („Za naše male genijalce“) za nabavu računala.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626.393,80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690.335,09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110,2</w:t>
            </w:r>
          </w:p>
        </w:tc>
      </w:tr>
    </w:tbl>
    <w:p>
      <w:pPr>
        <w:spacing w:before="0" w:after="0"/>
      </w:pPr>
    </w:p>
    <w:p>
      <w:r>
        <w:t xml:space="preserve">Prihodi za potrebe redovnog financiranja odgojno-obrazovne djelatnosti iz nadležnog proračuna ostvareni u većem iznosu uslijed općeg rasta cijena, a   najvećim dijelom zbog povećanja cijene za uslugu prijevoza učenika počevši od travnja 2026. i plaća uslijed povećanja broja zaposlenih pomoćnika u nastavi.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47.046,91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833,53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1,8</w:t>
            </w:r>
          </w:p>
        </w:tc>
      </w:tr>
    </w:tbl>
    <w:p>
      <w:pPr>
        <w:spacing w:before="0" w:after="0"/>
      </w:pPr>
    </w:p>
    <w:p>
      <w:r>
        <w:t xml:space="preserve">Prihodi za nabavu nefinancijske imovine u izvještajnom razdoblju tekuće godine ostvareni su za nabavu knjiga za školsku knjižnicu, sportske opreme i namještaja za opremanje učionice.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1.817.842,58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1.702.575,09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93,7</w:t>
            </w:r>
          </w:p>
        </w:tc>
      </w:tr>
    </w:tbl>
    <w:p>
      <w:pPr>
        <w:spacing w:before="0" w:after="0"/>
      </w:pPr>
    </w:p>
    <w:p>
      <w:r>
        <w:t xml:space="preserve">U prethodnom izvještajnom razdoblju evidentirani su rashodi za plaću pripravništva te su rashodi za zaposlene manji u tekućem izvještajnom razdoblju uslijed ukidanja podskupine 193. Uključuju i rashode za plaće pomoćnicima u nastavi i učiteljima u produženom boravku. Ostali rashodi za zaposlene u odnosu na prethodno izvještajno razdoblje ostvareni su u većem iznosu, a što se najvećim dijelom odnosi na isplaćene nagrade, regres za godišnji odmor te ostale nenavedene rahode za zaposlene.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23.583,29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27.313,21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115,8</w:t>
            </w:r>
          </w:p>
        </w:tc>
      </w:tr>
    </w:tbl>
    <w:p>
      <w:pPr>
        <w:spacing w:before="0" w:after="0"/>
      </w:pPr>
    </w:p>
    <w:p>
      <w:r>
        <w:t xml:space="preserve">Više ostvareni rashodi za naknade za prijevoz na posao i s posla u odnosu na izvještajno razdoblje prethodne godine uslijed povećanja cijene za naknadu troškova prijevoza.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naknade troškova zaposlenima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248,40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125,2</w:t>
            </w:r>
          </w:p>
        </w:tc>
      </w:tr>
    </w:tbl>
    <w:p>
      <w:pPr>
        <w:spacing w:before="0" w:after="0"/>
      </w:pPr>
    </w:p>
    <w:p>
      <w:r>
        <w:t xml:space="preserve">U izvještajnom razdoblju ostvareni rashodi za naknadu za korištenje privatnog automobila u službene svrhe (loko vožnja).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11.127,53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13.714,88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123,3</w:t>
            </w:r>
          </w:p>
        </w:tc>
      </w:tr>
    </w:tbl>
    <w:p>
      <w:pPr>
        <w:spacing w:before="0" w:after="0"/>
      </w:pPr>
    </w:p>
    <w:p>
      <w:r>
        <w:t xml:space="preserve">Rashodi za uredski materijal i ostali materijalni rashodi u  odnosu na isto razdoblje 2025. godine ostvareni su u većem iznosu najvećim dijelom za nabavu uredskog materijala, literature i psihodijagnostičkih pomagala.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sirovine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95.743,06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97.732,91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102,1</w:t>
            </w:r>
          </w:p>
        </w:tc>
      </w:tr>
    </w:tbl>
    <w:p>
      <w:pPr>
        <w:spacing w:before="0" w:after="0"/>
      </w:pPr>
    </w:p>
    <w:p>
      <w:r>
        <w:t xml:space="preserve">Više ostvareni rashodi za nabavu namirnica za školsku kuhinju  uslijed općeg rasta cijena.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38.266,93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38.799,66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101,4</w:t>
            </w:r>
          </w:p>
        </w:tc>
      </w:tr>
    </w:tbl>
    <w:p>
      <w:pPr>
        <w:spacing w:before="0" w:after="0"/>
      </w:pPr>
    </w:p>
    <w:p>
      <w:r>
        <w:t xml:space="preserve">Povećanje troškova energije zbog više realiziranih rashoda za plin i gorivo za službeni automobil u odnosu na prethodno izvještajno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1.692,02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2.305,13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136,2</w:t>
            </w:r>
          </w:p>
        </w:tc>
      </w:tr>
    </w:tbl>
    <w:p>
      <w:pPr>
        <w:spacing w:before="0" w:after="0"/>
      </w:pPr>
    </w:p>
    <w:p>
      <w:r>
        <w:t xml:space="preserve">Povećanje najvećim dijelom odnosi se na nabavu materijala i dijelova za tekuće održavanje za građevinske objekte.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2.065,89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354,10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17,1</w:t>
            </w:r>
          </w:p>
        </w:tc>
      </w:tr>
    </w:tbl>
    <w:p>
      <w:pPr>
        <w:spacing w:before="0" w:after="0"/>
      </w:pPr>
    </w:p>
    <w:p>
      <w:r>
        <w:t xml:space="preserve">U izvještajnom razdoblju prethodne godine izvršena nabava kaciga za bicikle, pluto ploča te zvučnika.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Službena, radna i zaštitna odjeća i obuća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206,40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izvještajnom razdoblju tekuće godine izvršena nabava radne obuće za kuhare u školskoj kuhinji.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253.725,40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266.304,20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105,0</w:t>
            </w:r>
          </w:p>
        </w:tc>
      </w:tr>
    </w:tbl>
    <w:p>
      <w:pPr>
        <w:spacing w:before="0" w:after="0"/>
      </w:pPr>
    </w:p>
    <w:p>
      <w:r>
        <w:t xml:space="preserve">Veći iznos rashoda ostvaren u izvještajnom razdoblju tekuće godine najvećim dijelom odnosi se na uslugu prijevoza učenika zbog povećanja ugovorene cijene od travnja 2026.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22.832,81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16.804,93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73,6</w:t>
            </w:r>
          </w:p>
        </w:tc>
      </w:tr>
    </w:tbl>
    <w:p>
      <w:pPr>
        <w:spacing w:before="0" w:after="0"/>
      </w:pPr>
    </w:p>
    <w:p>
      <w:r>
        <w:t xml:space="preserve">Usluge tekućeg i investicijskog održavanja u izvještajnom razdoblju ostvarene su u manjem iznosu, a obuhvaćaju ispitivanje plinske instalacije, elektroinstalaterske radove, vodoinstalaterske radove, redovan servis dizala, servis uređaja za detekciju plina, servis vatrogasnih aparata, servis motorne kosilice i traktorske kosilice, servis klima uređaja, popravak krovišta te popravak nagibne tave u školskoj kuhinji.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8.742,92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10.474,60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119,8</w:t>
            </w:r>
          </w:p>
        </w:tc>
      </w:tr>
    </w:tbl>
    <w:p>
      <w:pPr>
        <w:spacing w:before="0" w:after="0"/>
      </w:pPr>
    </w:p>
    <w:p>
      <w:r>
        <w:t xml:space="preserve">U izvještajnom razdoblju ostvareni su rashodi u većem iznosu najvećim dijelom za rashode za vodu, smeće i pričuvu u odnosu na prethodno izvještajno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4.710,89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7.805,10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165,7</w:t>
            </w:r>
          </w:p>
        </w:tc>
      </w:tr>
    </w:tbl>
    <w:p>
      <w:pPr>
        <w:spacing w:before="0" w:after="0"/>
      </w:pPr>
    </w:p>
    <w:p>
      <w:r>
        <w:t xml:space="preserve">Povećanje rashoda u odnosu na prethodno izvještajno razdoblje najvećim dijelom za rashode obveznih i preventivnih zdravstvenih pregleda zaposlenika.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2.923,30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4.781,33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163,6</w:t>
            </w:r>
          </w:p>
        </w:tc>
      </w:tr>
    </w:tbl>
    <w:p>
      <w:pPr>
        <w:spacing w:before="0" w:after="0"/>
      </w:pPr>
    </w:p>
    <w:p>
      <w:r>
        <w:t xml:space="preserve">Povećanje rashoda zbog izrade procjene rizika prema smjernicama Uprave za rad i zaštitu na radu pri Ministrarstvu rada, mirovinskog sustava, obitelji i socijalne politike.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Računalne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1.325,00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1.518,75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114,6</w:t>
            </w:r>
          </w:p>
        </w:tc>
      </w:tr>
    </w:tbl>
    <w:p>
      <w:pPr>
        <w:spacing w:before="0" w:after="0"/>
      </w:pPr>
    </w:p>
    <w:p>
      <w:r>
        <w:t xml:space="preserve">Povećanje rashoda zbog povećanja cijene održavanja internetskog projekta izvor-osmodec.hr.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7.994,04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386,54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4,8</w:t>
            </w:r>
          </w:p>
        </w:tc>
      </w:tr>
    </w:tbl>
    <w:p>
      <w:pPr>
        <w:spacing w:before="0" w:after="0"/>
      </w:pPr>
    </w:p>
    <w:p>
      <w:r>
        <w:t xml:space="preserve">U izvještajnom razdoblju prethodne godine ostvareni rashodi  za uslugu izrade sigurnosne procjene zaštite objekta prema Zakonu o privatnoj zaštiti te pripremu i implementaciju programa „Cycling games“ u odnosu na izvještajno razdoblje tekuće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Premije osiguranja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6.907,68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8.440,70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122,2</w:t>
            </w:r>
          </w:p>
        </w:tc>
      </w:tr>
    </w:tbl>
    <w:p>
      <w:pPr>
        <w:spacing w:before="0" w:after="0"/>
      </w:pPr>
    </w:p>
    <w:p>
      <w:r>
        <w:t xml:space="preserve">Povećanje rashoda u odnosu na isto razdoblje prethodne godine uslijed povećanja premije osiguranja imovine Škole od požara, potresa, loma stakla.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2.781,59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5742,3</w:t>
            </w:r>
          </w:p>
        </w:tc>
      </w:tr>
    </w:tbl>
    <w:p>
      <w:pPr>
        <w:spacing w:before="0" w:after="0"/>
      </w:pPr>
    </w:p>
    <w:p>
      <w:r>
        <w:t xml:space="preserve">Povećanje rashoda u odnosu na isto razdoblje prethodne godine najvećim dijelom zbog povećanja iznosa mjesečne naknade uslijed neispunjenja obveze kvotnog zapošljavanja osoba s invaliditetom.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Zatezne kamate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15,7</w:t>
            </w:r>
          </w:p>
        </w:tc>
      </w:tr>
    </w:tbl>
    <w:p>
      <w:pPr>
        <w:spacing w:before="0" w:after="0"/>
      </w:pPr>
    </w:p>
    <w:p>
      <w:r>
        <w:t xml:space="preserve">U izvještajnom razdoblju ostvareni rashodi za ostale zatezne kamate.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1.584,00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1.642,50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103,7</w:t>
            </w:r>
          </w:p>
        </w:tc>
      </w:tr>
    </w:tbl>
    <w:p>
      <w:pPr>
        <w:spacing w:before="0" w:after="0"/>
      </w:pPr>
    </w:p>
    <w:p>
      <w:r>
        <w:t xml:space="preserve">U izvještajnom razdoblju ostvareni rashodi za nabavu menstrualnih higijenskih potrepština.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kazne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prethodnom izvještajnom razdoblju ostvareni rashodi za naplatu novčane kazne.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poslovanja - preneseni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266.082,67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Manjak prihoda poslovanja -preneseni na dan 30. lipnja 2026.  isti je stanju na dan 1. siječnja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- nenaplaćeni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233.746,02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243.025,24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104,0</w:t>
            </w:r>
          </w:p>
        </w:tc>
      </w:tr>
    </w:tbl>
    <w:p>
      <w:pPr>
        <w:spacing w:before="0" w:after="0"/>
      </w:pPr>
    </w:p>
    <w:p>
      <w:r>
        <w:t xml:space="preserve">Obračunati prihodi poslovanja-nenaplaćeni- povećanje se najvećim dijelom odnosi na evidentirane pomoći od Ministarstva znanosti, obrazovanja i mladih za isplatu plaće za lipanj 2026. iz državnog proračuna preko COP-a.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Licence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izvještajnom razdoblju tekuće godine izvršena nabava licence za vođenje rasporeda sati.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10.122,20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1.161,99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11,5</w:t>
            </w:r>
          </w:p>
        </w:tc>
      </w:tr>
    </w:tbl>
    <w:p>
      <w:pPr>
        <w:spacing w:before="0" w:after="0"/>
      </w:pPr>
    </w:p>
    <w:p>
      <w:r>
        <w:t xml:space="preserve">U izvještajnom razdoblju izvršena nabava tableta i namještaja za opremanje učionice.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Oprema za održavanje i zaštitu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8.914,64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prethodnom izvještajnom razdoblju izvršena nabava elektrokotla (Veliki Raven), motorne kosilice i kose.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Sportska i glazbena oprema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278,88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Tekuće izvještajno razdoblje obuhvaća nabavu sportske opreme.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3.933,90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prethodnom izvještajnom razdoblju izvršena nabava traktorske kosilice.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Prijevozna sredstva u cestovnom prometu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2.639,84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prethodnom izvještajnom razdoblju ostvareni su rashodi za nabavu bicikla u okviru organizacije programa Cycling games.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693,17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263,65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38,0</w:t>
            </w:r>
          </w:p>
        </w:tc>
      </w:tr>
    </w:tbl>
    <w:p>
      <w:pPr>
        <w:spacing w:before="0" w:after="0"/>
      </w:pPr>
    </w:p>
    <w:p>
      <w:r>
        <w:t xml:space="preserve">Ostvareni rashodi za nabavu knjiga namijenjenih opremanju školske knjižnice.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od nefinancijske imovine - preneseni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1.809,65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Manjak prihoda od nefinancijske imovine- preneseni  na dan 30. lipnja 2026.  isti je stanju na dan 1. siječnja 2026.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Prosječan broj zaposlenih kod korisnika na osnovi stanja na početku i na kraju izvještajnog razdoblja (cijeli broj)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105,3</w:t>
            </w:r>
          </w:p>
        </w:tc>
      </w:tr>
    </w:tbl>
    <w:p>
      <w:pPr>
        <w:spacing w:before="0" w:after="0"/>
      </w:pPr>
    </w:p>
    <w:p>
      <w:r>
        <w:t xml:space="preserve">Veći broj zaposlenih (pomoćnici u nastavi, zamjene za bolovanja) u odnosu na prethodno izvještajno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Prosječan broj zaposlenih kod korisnika na osnovi sati rada (cijeli broj)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105,9</w:t>
            </w:r>
          </w:p>
        </w:tc>
      </w:tr>
    </w:tbl>
    <w:p>
      <w:pPr>
        <w:spacing w:before="0" w:after="0"/>
      </w:pPr>
    </w:p>
    <w:p>
      <w:r>
        <w:t xml:space="preserve">Veći broj zaposlenih (pomoćnici u nastavi, zamjene za bolovanja) u odnosu na prethodno izvještajno razdoblje.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1. siječnja (=stanju obveza iz Izvještaja o obvezama na 31. prosinca prethodne godine)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303.018,11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1. siječnja iznosi 303.018,11 eura, a odnosi se na obveze nastale u mjesecu prosincu 2025. godine podmirene u siječnju 2026. godine. Stanje 1. siječnja sadrži i obveze prema državnom proračunu za bolovanja preko 42 dana (2.533,05 eura) te obveze za jamčevne pologe za redovito plaćanje (2.103,00 eura).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35.316,63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Povećanje obveza u izvještajnom razdoblju u iznosu 35.316,63 eura odnosi se na obveze prema državnom proračunu za bolovanje preko 42 dana (19.674,95 eura), obveza za povrat u državni proračun pogrešno isplaćenog regresa i nagrade za uskršnje blagdane (400,00 eura), obveza za povrat u državni proračun za više uplaćena sredstva za prehranu učenika (8.380,00 eura), obveza za povrat poreza i doprinosa u državni proračun zbog naknadno priznate ozljede na radu (778,40 eura) te obveze prema Gradu (6.083,28 eura).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24.844,77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Podmirene su obveze  u iznosu 24.844,77 eura (sredstva za prehranu učenika 8.380,00 eura, obveze prema nadležnom proračunu 6.083,28 eura, pogrešno isplaćena nagrada za uskršnje blagdane 100,00 eura, povrat poreza i doprinosa u državni proračun zbog naknadno priznate ozljede na radu 778,40 eura) osim obveza prema državnom proračunu za bolovanja preko 42 dana koje su zatvorene u djelomičnom iznosu prema primljenim Uputama u iznosu 9.503,09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293.195,34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na kraju izvještajnog razdoblja- stanje obveza na 30.6.2026. godine iznosi 293.195,34 eura. Iskazano stanje obveza na kraju izvještajnog razdoblja odnosi se na dospjele obveze u iznosu 266,67 eura  te nedospjele obveze u iznosu 292.928,67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266,67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u iznosu 266,67 eura odnose se na rashode nastale tijekom mjeseca lipnja s datumom dospijeća do 30.6.2026., a rezultat su raskoraka u dinamici ostvarenja prihoda u odnosu na dospjele obveze. Dospjele obveze podmirene su tijekom mjeseca srpnja po ostvarenju prihoda.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292.928,67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nedospjelih obveza na kraju izvještajnog razdoblja iznosi 292.928,67 eura, a odnosi se na obveze za zaposlene (268.746,98 eura – plaća za lipanj 2026. godine koja je isplaćena u srpnju 2026. godine), međusobne obveze proračunskih korisnika tj. obveze prema državnom proračunu za bolovanja preko 42 dana (12.704,91 eura), obveza za povrat u državni proračun pogrešno isplaćenog regresa  (300,00 eura ), obveze za materijalne rashode (9.073,78 eura) te obveze za jamčevne pologe za redovito plaćanje (2.103,00 eura).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dbd211b5b924f5a" /></Relationships>
</file>