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8607" w14:textId="1C9441F3" w:rsidR="00710230" w:rsidRDefault="00710230" w:rsidP="00710230">
      <w:r>
        <w:t>Obrazloženje</w:t>
      </w:r>
      <w:r w:rsidR="007D4C6A">
        <w:t xml:space="preserve"> financijskog plana</w:t>
      </w:r>
      <w:r>
        <w:t xml:space="preserve"> sastoji se od obrazloženja</w:t>
      </w:r>
      <w:r w:rsidR="00713976">
        <w:t xml:space="preserve"> </w:t>
      </w:r>
      <w:r>
        <w:t>općeg dijela i obrazloženja</w:t>
      </w:r>
      <w:r w:rsidR="00713976">
        <w:t xml:space="preserve"> </w:t>
      </w:r>
      <w:r>
        <w:t xml:space="preserve">posebnog dijela </w:t>
      </w:r>
      <w:r w:rsidR="007D4C6A">
        <w:t>financijskog plana</w:t>
      </w:r>
      <w:r>
        <w:t xml:space="preserve"> kako slijedi:</w:t>
      </w:r>
    </w:p>
    <w:p w14:paraId="0F7C7682" w14:textId="20D9F308" w:rsidR="00226F3A" w:rsidRDefault="00710230" w:rsidP="00226F3A">
      <w:pPr>
        <w:jc w:val="center"/>
        <w:rPr>
          <w:sz w:val="40"/>
          <w:szCs w:val="40"/>
        </w:rPr>
      </w:pPr>
      <w:r>
        <w:rPr>
          <w:sz w:val="40"/>
          <w:szCs w:val="40"/>
        </w:rPr>
        <w:t>OBRAZLOŽENJE</w:t>
      </w:r>
      <w:r w:rsidR="007D4C6A">
        <w:rPr>
          <w:sz w:val="40"/>
          <w:szCs w:val="40"/>
        </w:rPr>
        <w:t xml:space="preserve"> FINANCIJSKOG PLANA</w:t>
      </w:r>
    </w:p>
    <w:p w14:paraId="31FB8F67" w14:textId="77777777" w:rsidR="00627AF5" w:rsidRDefault="00815DBE" w:rsidP="00815DBE">
      <w:pPr>
        <w:rPr>
          <w:rFonts w:cstheme="minorHAnsi"/>
          <w:lang w:eastAsia="hr-HR"/>
        </w:rPr>
      </w:pPr>
      <w:r w:rsidRPr="00E24A70">
        <w:rPr>
          <w:rFonts w:cstheme="minorHAnsi"/>
          <w:lang w:eastAsia="hr-HR"/>
        </w:rPr>
        <w:t>Osnovna škola Ljudevita Modeca javna je ustanova koja se bavi odgojno- obrazovnom djelatnošću</w:t>
      </w:r>
      <w:r>
        <w:rPr>
          <w:rFonts w:cstheme="minorHAnsi"/>
          <w:lang w:eastAsia="hr-HR"/>
        </w:rPr>
        <w:t xml:space="preserve"> </w:t>
      </w:r>
      <w:r w:rsidRPr="00E24A70">
        <w:rPr>
          <w:rFonts w:cstheme="minorHAnsi"/>
          <w:lang w:eastAsia="hr-HR"/>
        </w:rPr>
        <w:t>djece od 6 do 15 godina. Nacionalni kurikulum i  Okvirni godišnji izvedbeni kurikulum osnovni su dokumenti po kojima se radi i u spomenutim dokumentima navedene su pojedinosti rada Škole te pokazatelji kako učenici, učitelji i stručni suradnici ostvaruju veće ili manje projekte i programe u kojima se bolje upoznaje svoj uži i širi zavičaj, ali u kojima se ostvaruje i suradnja s kulturnim i vjerskim institucijama, sportskim udrugama i udrugama građana, drugim školama i gospodarstvenicim</w:t>
      </w:r>
      <w:r>
        <w:rPr>
          <w:rFonts w:cstheme="minorHAnsi"/>
          <w:lang w:eastAsia="hr-HR"/>
        </w:rPr>
        <w:t>a.</w:t>
      </w:r>
      <w:r w:rsidR="00172D03" w:rsidRPr="00172D03">
        <w:rPr>
          <w:rFonts w:cstheme="minorHAnsi"/>
          <w:lang w:eastAsia="hr-HR"/>
        </w:rPr>
        <w:t xml:space="preserve"> </w:t>
      </w:r>
    </w:p>
    <w:p w14:paraId="3999B518" w14:textId="77777777" w:rsidR="00627AF5" w:rsidRDefault="00710230" w:rsidP="00815DBE">
      <w:pPr>
        <w:rPr>
          <w:rFonts w:cstheme="minorHAnsi"/>
          <w:color w:val="424242"/>
          <w:shd w:val="clear" w:color="auto" w:fill="FFFFFF"/>
        </w:rPr>
      </w:pPr>
      <w:r w:rsidRPr="00815DBE">
        <w:rPr>
          <w:rFonts w:eastAsia="Times New Roman" w:cstheme="minorHAnsi"/>
          <w:lang w:eastAsia="hr-HR"/>
        </w:rPr>
        <w:t>Osnovna škola Ljudevita Modeca proračunski</w:t>
      </w:r>
      <w:r w:rsidR="0094072E">
        <w:rPr>
          <w:rFonts w:eastAsia="Times New Roman" w:cstheme="minorHAnsi"/>
          <w:lang w:eastAsia="hr-HR"/>
        </w:rPr>
        <w:t xml:space="preserve"> je</w:t>
      </w:r>
      <w:r w:rsidRPr="00815DBE">
        <w:rPr>
          <w:rFonts w:eastAsia="Times New Roman" w:cstheme="minorHAnsi"/>
          <w:lang w:eastAsia="hr-HR"/>
        </w:rPr>
        <w:t xml:space="preserve"> korisnik Grada Križevaca, uvrštena u Registar proračunskih korisnika pod RKP brojem 8570, prema P</w:t>
      </w:r>
      <w:r w:rsidRPr="00815DBE">
        <w:rPr>
          <w:rFonts w:cstheme="minorHAnsi"/>
          <w:color w:val="424242"/>
          <w:shd w:val="clear" w:color="auto" w:fill="FFFFFF"/>
        </w:rPr>
        <w:t>ravilniku o utvrđivanju proračunskih i izvanproračunskih korisnika državnog proračuna i proračunskih i izvanproračunskih korisnika proračuna jedinica lokalne i područne (regionalne) samouprave te o načinu vođenja Registra proračunskih i izvanproračunskih korisnika (NN 1</w:t>
      </w:r>
      <w:r w:rsidR="006B27DE">
        <w:rPr>
          <w:rFonts w:cstheme="minorHAnsi"/>
          <w:color w:val="424242"/>
          <w:shd w:val="clear" w:color="auto" w:fill="FFFFFF"/>
        </w:rPr>
        <w:t>50/24</w:t>
      </w:r>
      <w:r w:rsidRPr="00815DBE">
        <w:rPr>
          <w:rFonts w:cstheme="minorHAnsi"/>
          <w:color w:val="424242"/>
          <w:shd w:val="clear" w:color="auto" w:fill="FFFFFF"/>
        </w:rPr>
        <w:t>).</w:t>
      </w:r>
    </w:p>
    <w:p w14:paraId="24FB3F75" w14:textId="0969C43B" w:rsidR="00FB4317" w:rsidRPr="00F72643" w:rsidRDefault="00E44EC1" w:rsidP="00815DBE">
      <w:pPr>
        <w:rPr>
          <w:rFonts w:cstheme="minorHAnsi"/>
          <w:color w:val="424242"/>
          <w:shd w:val="clear" w:color="auto" w:fill="FFFFFF"/>
        </w:rPr>
      </w:pPr>
      <w:r>
        <w:rPr>
          <w:rFonts w:cstheme="minorHAnsi"/>
          <w:color w:val="424242"/>
          <w:shd w:val="clear" w:color="auto" w:fill="FFFFFF"/>
        </w:rPr>
        <w:t>Metodologija za izrad</w:t>
      </w:r>
      <w:r w:rsidR="009036D8">
        <w:rPr>
          <w:rFonts w:cstheme="minorHAnsi"/>
          <w:color w:val="424242"/>
          <w:shd w:val="clear" w:color="auto" w:fill="FFFFFF"/>
        </w:rPr>
        <w:t>u</w:t>
      </w:r>
      <w:r>
        <w:rPr>
          <w:rFonts w:cstheme="minorHAnsi"/>
          <w:color w:val="424242"/>
          <w:shd w:val="clear" w:color="auto" w:fill="FFFFFF"/>
        </w:rPr>
        <w:t xml:space="preserve"> f</w:t>
      </w:r>
      <w:r w:rsidR="00FB4317">
        <w:rPr>
          <w:rFonts w:cstheme="minorHAnsi"/>
          <w:color w:val="424242"/>
          <w:shd w:val="clear" w:color="auto" w:fill="FFFFFF"/>
        </w:rPr>
        <w:t>inancijsk</w:t>
      </w:r>
      <w:r>
        <w:rPr>
          <w:rFonts w:cstheme="minorHAnsi"/>
          <w:color w:val="424242"/>
          <w:shd w:val="clear" w:color="auto" w:fill="FFFFFF"/>
        </w:rPr>
        <w:t>og</w:t>
      </w:r>
      <w:r w:rsidR="00FB4317">
        <w:rPr>
          <w:rFonts w:cstheme="minorHAnsi"/>
          <w:color w:val="424242"/>
          <w:shd w:val="clear" w:color="auto" w:fill="FFFFFF"/>
        </w:rPr>
        <w:t xml:space="preserve"> plan</w:t>
      </w:r>
      <w:r>
        <w:rPr>
          <w:rFonts w:cstheme="minorHAnsi"/>
          <w:color w:val="424242"/>
          <w:shd w:val="clear" w:color="auto" w:fill="FFFFFF"/>
        </w:rPr>
        <w:t>a propisana je</w:t>
      </w:r>
      <w:r w:rsidR="00AC0E1F">
        <w:rPr>
          <w:rFonts w:cstheme="minorHAnsi"/>
          <w:color w:val="424242"/>
          <w:shd w:val="clear" w:color="auto" w:fill="FFFFFF"/>
        </w:rPr>
        <w:t xml:space="preserve"> Zakon</w:t>
      </w:r>
      <w:r>
        <w:rPr>
          <w:rFonts w:cstheme="minorHAnsi"/>
          <w:color w:val="424242"/>
          <w:shd w:val="clear" w:color="auto" w:fill="FFFFFF"/>
        </w:rPr>
        <w:t>om</w:t>
      </w:r>
      <w:r w:rsidR="00AC0E1F">
        <w:rPr>
          <w:rFonts w:cstheme="minorHAnsi"/>
          <w:color w:val="424242"/>
          <w:shd w:val="clear" w:color="auto" w:fill="FFFFFF"/>
        </w:rPr>
        <w:t xml:space="preserve"> o proračunu (NN 144/21) i podzakonskim aktima kojima se uređuje provedba navedenog Zakona</w:t>
      </w:r>
      <w:r w:rsidR="00F72643">
        <w:rPr>
          <w:rFonts w:cstheme="minorHAnsi"/>
          <w:color w:val="424242"/>
          <w:shd w:val="clear" w:color="auto" w:fill="FFFFFF"/>
        </w:rPr>
        <w:t xml:space="preserve">: </w:t>
      </w:r>
      <w:r w:rsidR="00121ED5">
        <w:rPr>
          <w:rFonts w:cstheme="minorHAnsi"/>
          <w:color w:val="424242"/>
          <w:shd w:val="clear" w:color="auto" w:fill="FFFFFF"/>
        </w:rPr>
        <w:t xml:space="preserve">Pravilnik o planiranju u sustavu proračuna (NN 1/24), Pravilnik  o proračunskom računovodstvu i Računskom planu (NN 158/23 i 154/24), </w:t>
      </w:r>
      <w:r w:rsidR="00FB4317">
        <w:rPr>
          <w:rFonts w:cstheme="minorHAnsi"/>
          <w:color w:val="424242"/>
          <w:shd w:val="clear" w:color="auto" w:fill="FFFFFF"/>
        </w:rPr>
        <w:t>Pravilnik o proračunskim klasifikacijama (NN 4/2024</w:t>
      </w:r>
      <w:r w:rsidR="00D42ED0">
        <w:rPr>
          <w:rFonts w:cstheme="minorHAnsi"/>
          <w:color w:val="424242"/>
          <w:shd w:val="clear" w:color="auto" w:fill="FFFFFF"/>
        </w:rPr>
        <w:t xml:space="preserve"> i 122/2025</w:t>
      </w:r>
      <w:r w:rsidR="00FB4317">
        <w:rPr>
          <w:rFonts w:cstheme="minorHAnsi"/>
          <w:color w:val="424242"/>
          <w:shd w:val="clear" w:color="auto" w:fill="FFFFFF"/>
        </w:rPr>
        <w:t>)</w:t>
      </w:r>
      <w:r w:rsidR="00121ED5">
        <w:rPr>
          <w:rFonts w:cstheme="minorHAnsi"/>
          <w:color w:val="424242"/>
          <w:shd w:val="clear" w:color="auto" w:fill="FFFFFF"/>
        </w:rPr>
        <w:t xml:space="preserve"> i Pravilnik o korištenju sredstava Eurposke unije (NN 44/24)</w:t>
      </w:r>
      <w:r w:rsidR="00952A66">
        <w:rPr>
          <w:rFonts w:cstheme="minorHAnsi"/>
          <w:color w:val="424242"/>
          <w:shd w:val="clear" w:color="auto" w:fill="FFFFFF"/>
        </w:rPr>
        <w:t>.</w:t>
      </w:r>
      <w:r w:rsidR="00F72643" w:rsidRPr="00F72643">
        <w:rPr>
          <w:lang w:eastAsia="hr-HR"/>
        </w:rPr>
        <w:t xml:space="preserve"> </w:t>
      </w:r>
      <w:r w:rsidR="00F72643">
        <w:rPr>
          <w:lang w:eastAsia="hr-HR"/>
        </w:rPr>
        <w:t>U</w:t>
      </w:r>
      <w:r w:rsidR="00FB4317" w:rsidRPr="00F72643">
        <w:rPr>
          <w:rFonts w:cstheme="minorHAnsi"/>
          <w:color w:val="424242"/>
          <w:shd w:val="clear" w:color="auto" w:fill="FFFFFF"/>
        </w:rPr>
        <w:t>vedena</w:t>
      </w:r>
      <w:r w:rsidR="00F72643">
        <w:rPr>
          <w:rFonts w:cstheme="minorHAnsi"/>
          <w:color w:val="424242"/>
          <w:shd w:val="clear" w:color="auto" w:fill="FFFFFF"/>
        </w:rPr>
        <w:t xml:space="preserve"> je</w:t>
      </w:r>
      <w:r w:rsidR="00FB4317" w:rsidRPr="00F72643">
        <w:rPr>
          <w:rFonts w:cstheme="minorHAnsi"/>
          <w:color w:val="424242"/>
          <w:shd w:val="clear" w:color="auto" w:fill="FFFFFF"/>
        </w:rPr>
        <w:t xml:space="preserve"> nova klasifikacija p</w:t>
      </w:r>
      <w:r w:rsidR="00952A66">
        <w:rPr>
          <w:rFonts w:cstheme="minorHAnsi"/>
          <w:color w:val="424242"/>
          <w:shd w:val="clear" w:color="auto" w:fill="FFFFFF"/>
        </w:rPr>
        <w:t>rema</w:t>
      </w:r>
      <w:r w:rsidR="00FB4317" w:rsidRPr="00F72643">
        <w:rPr>
          <w:rFonts w:cstheme="minorHAnsi"/>
          <w:color w:val="424242"/>
          <w:shd w:val="clear" w:color="auto" w:fill="FFFFFF"/>
        </w:rPr>
        <w:t xml:space="preserve"> izvorima financiranja</w:t>
      </w:r>
      <w:r w:rsidR="002C02FC">
        <w:rPr>
          <w:rFonts w:cstheme="minorHAnsi"/>
          <w:color w:val="424242"/>
          <w:shd w:val="clear" w:color="auto" w:fill="FFFFFF"/>
        </w:rPr>
        <w:t>.</w:t>
      </w:r>
    </w:p>
    <w:p w14:paraId="5808A3DB" w14:textId="0B000D6F" w:rsidR="00710230" w:rsidRDefault="00710230" w:rsidP="00815DBE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Sukladno proračunskim klasifikacijama, prema djelokrugu rada i postavljenim ciljevima</w:t>
      </w:r>
      <w:r w:rsidR="001D2C3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uvrštena je u Proračun Grada Križevaca kako slijedi:</w:t>
      </w:r>
    </w:p>
    <w:p w14:paraId="5E82E6AB" w14:textId="77777777" w:rsidR="00710230" w:rsidRDefault="00710230" w:rsidP="0071023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Lokacijska klasifikacija: Grad Križevci</w:t>
      </w:r>
    </w:p>
    <w:p w14:paraId="5ED80D5A" w14:textId="77777777" w:rsidR="00710230" w:rsidRDefault="00710230" w:rsidP="0071023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Organizacijska klasifikacija:</w:t>
      </w:r>
    </w:p>
    <w:p w14:paraId="218530BB" w14:textId="77777777" w:rsidR="00710230" w:rsidRDefault="00710230" w:rsidP="00710230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Razdjel 301 Upravni odjel za odgoj, obrazovanje, kulturu, sport, socijalnu skrb, </w:t>
      </w:r>
    </w:p>
    <w:p w14:paraId="0DAB3327" w14:textId="11CE6504" w:rsidR="00710230" w:rsidRDefault="00710230" w:rsidP="00710230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 nacionalne manjine i turizam, Glava 3010</w:t>
      </w:r>
      <w:r w:rsidR="0041798A">
        <w:rPr>
          <w:rFonts w:eastAsia="Times New Roman" w:cstheme="minorHAnsi"/>
          <w:lang w:eastAsia="hr-HR"/>
        </w:rPr>
        <w:t xml:space="preserve">3 </w:t>
      </w:r>
      <w:r>
        <w:rPr>
          <w:rFonts w:eastAsia="Times New Roman" w:cstheme="minorHAnsi"/>
          <w:lang w:eastAsia="hr-HR"/>
        </w:rPr>
        <w:t>Osnovn</w:t>
      </w:r>
      <w:r w:rsidR="0041798A">
        <w:rPr>
          <w:rFonts w:eastAsia="Times New Roman" w:cstheme="minorHAnsi"/>
          <w:lang w:eastAsia="hr-HR"/>
        </w:rPr>
        <w:t>e škole</w:t>
      </w:r>
      <w:r>
        <w:rPr>
          <w:rFonts w:eastAsia="Times New Roman" w:cstheme="minorHAnsi"/>
          <w:lang w:eastAsia="hr-HR"/>
        </w:rPr>
        <w:t xml:space="preserve">   </w:t>
      </w:r>
    </w:p>
    <w:p w14:paraId="7BD62200" w14:textId="77777777" w:rsidR="00710230" w:rsidRDefault="00710230" w:rsidP="0071023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Programska klasifikacija:</w:t>
      </w:r>
    </w:p>
    <w:p w14:paraId="60E35B1A" w14:textId="4C8F15F0" w:rsidR="00710230" w:rsidRDefault="00710230" w:rsidP="00710230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3</w:t>
      </w:r>
      <w:r w:rsidR="00AE5967">
        <w:rPr>
          <w:rFonts w:eastAsia="Times New Roman" w:cstheme="minorHAnsi"/>
          <w:lang w:eastAsia="hr-HR"/>
        </w:rPr>
        <w:t>2</w:t>
      </w:r>
      <w:r>
        <w:rPr>
          <w:rFonts w:eastAsia="Times New Roman" w:cstheme="minorHAnsi"/>
          <w:lang w:eastAsia="hr-HR"/>
        </w:rPr>
        <w:t>01 Osnovnoškolsko obrazovanje u OŠ Ljudevita Modeca Križevci</w:t>
      </w:r>
    </w:p>
    <w:p w14:paraId="0D2ACD17" w14:textId="77777777" w:rsidR="00710230" w:rsidRDefault="00710230" w:rsidP="0071023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Ekonomska klasifikacija: </w:t>
      </w:r>
    </w:p>
    <w:p w14:paraId="3E0A9A43" w14:textId="77777777" w:rsidR="00710230" w:rsidRDefault="00710230" w:rsidP="00710230">
      <w:pPr>
        <w:pStyle w:val="ListParagraph"/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i primici, te rashodi i izdaci razvrstani su u razrede, skupine, podskupine, odjeljke i osnovne račune prema važećem Računskom planu</w:t>
      </w:r>
    </w:p>
    <w:p w14:paraId="37CCCAF1" w14:textId="77777777" w:rsidR="00710230" w:rsidRDefault="00710230" w:rsidP="0071023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Funkcijska klasifikacija:</w:t>
      </w:r>
    </w:p>
    <w:p w14:paraId="469247C8" w14:textId="77777777" w:rsidR="00710230" w:rsidRDefault="00710230" w:rsidP="00710230">
      <w:pPr>
        <w:pStyle w:val="ListParagraph"/>
        <w:numPr>
          <w:ilvl w:val="0"/>
          <w:numId w:val="2"/>
        </w:num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Obrazovanje</w:t>
      </w:r>
    </w:p>
    <w:p w14:paraId="74D8A163" w14:textId="77777777" w:rsidR="00710230" w:rsidRDefault="00710230" w:rsidP="00710230">
      <w:pPr>
        <w:pStyle w:val="ListParagraph"/>
        <w:ind w:left="1068"/>
        <w:rPr>
          <w:rFonts w:eastAsia="Times New Roman" w:cstheme="minorHAnsi"/>
          <w:lang w:eastAsia="hr-HR"/>
        </w:rPr>
      </w:pPr>
    </w:p>
    <w:p w14:paraId="35B45C16" w14:textId="2B0F7895" w:rsidR="00710230" w:rsidRPr="00A00A27" w:rsidRDefault="00710230" w:rsidP="00D330A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A00A27">
        <w:rPr>
          <w:b/>
          <w:bCs/>
          <w:sz w:val="28"/>
          <w:szCs w:val="28"/>
        </w:rPr>
        <w:t>OBRAZLOŽENJE</w:t>
      </w:r>
      <w:r w:rsidR="00CB4C59">
        <w:rPr>
          <w:b/>
          <w:bCs/>
          <w:sz w:val="28"/>
          <w:szCs w:val="28"/>
        </w:rPr>
        <w:t xml:space="preserve"> </w:t>
      </w:r>
      <w:r w:rsidRPr="00A00A27">
        <w:rPr>
          <w:b/>
          <w:bCs/>
          <w:sz w:val="28"/>
          <w:szCs w:val="28"/>
        </w:rPr>
        <w:t xml:space="preserve">OPĆEG DIJELA </w:t>
      </w:r>
      <w:r w:rsidR="00B83307">
        <w:rPr>
          <w:b/>
          <w:bCs/>
          <w:sz w:val="28"/>
          <w:szCs w:val="28"/>
        </w:rPr>
        <w:t>FINANCIJSKOG PLANA</w:t>
      </w:r>
    </w:p>
    <w:p w14:paraId="633D7B0D" w14:textId="72896DBA" w:rsidR="00710230" w:rsidRPr="00A2762A" w:rsidRDefault="00710230" w:rsidP="00710230">
      <w:pPr>
        <w:ind w:left="360"/>
        <w:rPr>
          <w:b/>
          <w:bCs/>
          <w:sz w:val="24"/>
          <w:szCs w:val="24"/>
        </w:rPr>
      </w:pPr>
      <w:r w:rsidRPr="00A2762A">
        <w:rPr>
          <w:b/>
          <w:bCs/>
          <w:sz w:val="24"/>
          <w:szCs w:val="24"/>
        </w:rPr>
        <w:t xml:space="preserve">OBRAZLOŽENJE PRIHODA I RASHODA, PRIMITAKA I IZDATAKA </w:t>
      </w:r>
      <w:r w:rsidR="00CB4C59">
        <w:rPr>
          <w:b/>
          <w:bCs/>
          <w:sz w:val="24"/>
          <w:szCs w:val="24"/>
        </w:rPr>
        <w:t>FINANCIJSKOG PLANA</w:t>
      </w:r>
    </w:p>
    <w:p w14:paraId="48A6915E" w14:textId="0A5C1544" w:rsidR="00710230" w:rsidRDefault="00710230" w:rsidP="00710230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PRIHODI</w:t>
      </w:r>
    </w:p>
    <w:p w14:paraId="2B4935DE" w14:textId="77777777" w:rsidR="00E235F2" w:rsidRDefault="00E235F2" w:rsidP="00710230">
      <w:pPr>
        <w:ind w:left="360"/>
        <w:rPr>
          <w:b/>
          <w:bCs/>
          <w:sz w:val="24"/>
          <w:szCs w:val="24"/>
          <w:u w:val="single"/>
        </w:rPr>
      </w:pPr>
    </w:p>
    <w:p w14:paraId="30B9F280" w14:textId="77777777" w:rsidR="00A17540" w:rsidRDefault="00A17540" w:rsidP="00710230">
      <w:pPr>
        <w:rPr>
          <w:b/>
          <w:bCs/>
          <w:sz w:val="24"/>
          <w:szCs w:val="24"/>
        </w:rPr>
      </w:pPr>
    </w:p>
    <w:p w14:paraId="4E08EB9D" w14:textId="77777777" w:rsidR="00A17540" w:rsidRDefault="00A17540" w:rsidP="00710230">
      <w:pPr>
        <w:rPr>
          <w:b/>
          <w:bCs/>
          <w:sz w:val="24"/>
          <w:szCs w:val="24"/>
        </w:rPr>
      </w:pPr>
    </w:p>
    <w:p w14:paraId="243F3F1F" w14:textId="6898EEAA" w:rsidR="00710230" w:rsidRDefault="00710230" w:rsidP="007102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PRIHODI POSLOVANJA (6)</w:t>
      </w:r>
    </w:p>
    <w:p w14:paraId="0EE6C424" w14:textId="0BFAB92C" w:rsidR="00DF5559" w:rsidRDefault="00710230" w:rsidP="00710230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poslovanja za 202</w:t>
      </w:r>
      <w:r w:rsidR="00644A3E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 planirani su u iznosu</w:t>
      </w:r>
      <w:r w:rsidR="00830F9C">
        <w:rPr>
          <w:rFonts w:eastAsia="Times New Roman" w:cstheme="minorHAnsi"/>
          <w:lang w:eastAsia="hr-HR"/>
        </w:rPr>
        <w:t xml:space="preserve"> 4.</w:t>
      </w:r>
      <w:r w:rsidR="00B641D5">
        <w:rPr>
          <w:rFonts w:eastAsia="Times New Roman" w:cstheme="minorHAnsi"/>
          <w:lang w:eastAsia="hr-HR"/>
        </w:rPr>
        <w:t>7</w:t>
      </w:r>
      <w:r w:rsidR="00C14215">
        <w:rPr>
          <w:rFonts w:eastAsia="Times New Roman" w:cstheme="minorHAnsi"/>
          <w:lang w:eastAsia="hr-HR"/>
        </w:rPr>
        <w:t>17.06</w:t>
      </w:r>
      <w:r w:rsidR="00B641D5">
        <w:rPr>
          <w:rFonts w:eastAsia="Times New Roman" w:cstheme="minorHAnsi"/>
          <w:lang w:eastAsia="hr-HR"/>
        </w:rPr>
        <w:t>3</w:t>
      </w:r>
      <w:r w:rsidR="00D928D2">
        <w:rPr>
          <w:rFonts w:eastAsia="Times New Roman" w:cstheme="minorHAnsi"/>
          <w:lang w:eastAsia="hr-HR"/>
        </w:rPr>
        <w:t>,00</w:t>
      </w:r>
      <w:r w:rsidR="00830F9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eur</w:t>
      </w:r>
      <w:r w:rsidR="00BB1DFB">
        <w:rPr>
          <w:rFonts w:eastAsia="Times New Roman" w:cstheme="minorHAnsi"/>
          <w:lang w:eastAsia="hr-HR"/>
        </w:rPr>
        <w:t>a</w:t>
      </w:r>
      <w:r w:rsidR="00830F9C">
        <w:rPr>
          <w:rFonts w:eastAsia="Times New Roman" w:cstheme="minorHAnsi"/>
          <w:lang w:eastAsia="hr-HR"/>
        </w:rPr>
        <w:t xml:space="preserve"> </w:t>
      </w:r>
      <w:r w:rsidR="00445814">
        <w:rPr>
          <w:rFonts w:eastAsia="Times New Roman" w:cstheme="minorHAnsi"/>
          <w:lang w:eastAsia="hr-HR"/>
        </w:rPr>
        <w:t xml:space="preserve">što se </w:t>
      </w:r>
      <w:r w:rsidR="00963EE7">
        <w:rPr>
          <w:rFonts w:eastAsia="Times New Roman" w:cstheme="minorHAnsi"/>
          <w:lang w:eastAsia="hr-HR"/>
        </w:rPr>
        <w:t xml:space="preserve">vrijednosno </w:t>
      </w:r>
      <w:r w:rsidR="00445814">
        <w:rPr>
          <w:rFonts w:eastAsia="Times New Roman" w:cstheme="minorHAnsi"/>
          <w:lang w:eastAsia="hr-HR"/>
        </w:rPr>
        <w:t>najvećim dijelom odnosi na</w:t>
      </w:r>
      <w:r w:rsidR="00830F9C">
        <w:rPr>
          <w:rFonts w:eastAsia="Times New Roman" w:cstheme="minorHAnsi"/>
          <w:lang w:eastAsia="hr-HR"/>
        </w:rPr>
        <w:t xml:space="preserve"> pomoći iz inozemstva i od subjekata u</w:t>
      </w:r>
      <w:r w:rsidR="00445814">
        <w:rPr>
          <w:rFonts w:eastAsia="Times New Roman" w:cstheme="minorHAnsi"/>
          <w:lang w:eastAsia="hr-HR"/>
        </w:rPr>
        <w:t>nutar općeg proračuna</w:t>
      </w:r>
      <w:r w:rsidR="006E36D8">
        <w:rPr>
          <w:rFonts w:eastAsia="Times New Roman" w:cstheme="minorHAnsi"/>
          <w:lang w:eastAsia="hr-HR"/>
        </w:rPr>
        <w:t>.</w:t>
      </w:r>
      <w:r w:rsidR="006D6912">
        <w:rPr>
          <w:rFonts w:eastAsia="Times New Roman" w:cstheme="minorHAnsi"/>
          <w:lang w:eastAsia="hr-HR"/>
        </w:rPr>
        <w:t xml:space="preserve"> </w:t>
      </w:r>
      <w:r w:rsidR="006E36D8">
        <w:rPr>
          <w:rFonts w:eastAsia="Times New Roman" w:cstheme="minorHAnsi"/>
          <w:lang w:eastAsia="hr-HR"/>
        </w:rPr>
        <w:t>P</w:t>
      </w:r>
      <w:r w:rsidR="00D9296B">
        <w:rPr>
          <w:rFonts w:eastAsia="Times New Roman" w:cstheme="minorHAnsi"/>
          <w:lang w:eastAsia="hr-HR"/>
        </w:rPr>
        <w:t>rojekcija prihoda poslovanja za 202</w:t>
      </w:r>
      <w:r w:rsidR="00D928D2">
        <w:rPr>
          <w:rFonts w:eastAsia="Times New Roman" w:cstheme="minorHAnsi"/>
          <w:lang w:eastAsia="hr-HR"/>
        </w:rPr>
        <w:t>7</w:t>
      </w:r>
      <w:r w:rsidR="00D9296B">
        <w:rPr>
          <w:rFonts w:eastAsia="Times New Roman" w:cstheme="minorHAnsi"/>
          <w:lang w:eastAsia="hr-HR"/>
        </w:rPr>
        <w:t xml:space="preserve">. godinu </w:t>
      </w:r>
      <w:r w:rsidR="006D6912">
        <w:rPr>
          <w:rFonts w:eastAsia="Times New Roman" w:cstheme="minorHAnsi"/>
          <w:lang w:eastAsia="hr-HR"/>
        </w:rPr>
        <w:t>je na razini plana za 2026.</w:t>
      </w:r>
      <w:r w:rsidR="006543BB">
        <w:rPr>
          <w:rFonts w:eastAsia="Times New Roman" w:cstheme="minorHAnsi"/>
          <w:lang w:eastAsia="hr-HR"/>
        </w:rPr>
        <w:t xml:space="preserve"> godinu</w:t>
      </w:r>
      <w:r w:rsidR="00D0250F">
        <w:rPr>
          <w:rFonts w:eastAsia="Times New Roman" w:cstheme="minorHAnsi"/>
          <w:lang w:eastAsia="hr-HR"/>
        </w:rPr>
        <w:t xml:space="preserve">, </w:t>
      </w:r>
      <w:r w:rsidR="006D6912">
        <w:rPr>
          <w:rFonts w:eastAsia="Times New Roman" w:cstheme="minorHAnsi"/>
          <w:lang w:eastAsia="hr-HR"/>
        </w:rPr>
        <w:t>dok</w:t>
      </w:r>
      <w:r w:rsidR="00D0250F">
        <w:rPr>
          <w:rFonts w:eastAsia="Times New Roman" w:cstheme="minorHAnsi"/>
          <w:lang w:eastAsia="hr-HR"/>
        </w:rPr>
        <w:t xml:space="preserve"> za 202</w:t>
      </w:r>
      <w:r w:rsidR="00D928D2">
        <w:rPr>
          <w:rFonts w:eastAsia="Times New Roman" w:cstheme="minorHAnsi"/>
          <w:lang w:eastAsia="hr-HR"/>
        </w:rPr>
        <w:t>8</w:t>
      </w:r>
      <w:r w:rsidR="00D0250F">
        <w:rPr>
          <w:rFonts w:eastAsia="Times New Roman" w:cstheme="minorHAnsi"/>
          <w:lang w:eastAsia="hr-HR"/>
        </w:rPr>
        <w:t>. godinu</w:t>
      </w:r>
      <w:r w:rsidR="00F52130">
        <w:rPr>
          <w:rFonts w:eastAsia="Times New Roman" w:cstheme="minorHAnsi"/>
          <w:lang w:eastAsia="hr-HR"/>
        </w:rPr>
        <w:t xml:space="preserve"> iznosi 4.</w:t>
      </w:r>
      <w:r w:rsidR="006E36D8">
        <w:rPr>
          <w:rFonts w:eastAsia="Times New Roman" w:cstheme="minorHAnsi"/>
          <w:lang w:eastAsia="hr-HR"/>
        </w:rPr>
        <w:t>590.591</w:t>
      </w:r>
      <w:r w:rsidR="00D928D2">
        <w:rPr>
          <w:rFonts w:eastAsia="Times New Roman" w:cstheme="minorHAnsi"/>
          <w:lang w:eastAsia="hr-HR"/>
        </w:rPr>
        <w:t>,00</w:t>
      </w:r>
      <w:r w:rsidR="00F52130">
        <w:rPr>
          <w:rFonts w:eastAsia="Times New Roman" w:cstheme="minorHAnsi"/>
          <w:lang w:eastAsia="hr-HR"/>
        </w:rPr>
        <w:t xml:space="preserve"> eura</w:t>
      </w:r>
      <w:r w:rsidR="002C4FDB">
        <w:rPr>
          <w:rFonts w:eastAsia="Times New Roman" w:cstheme="minorHAnsi"/>
          <w:lang w:eastAsia="hr-HR"/>
        </w:rPr>
        <w:t>. Smanjenje se odnosi na</w:t>
      </w:r>
      <w:r w:rsidR="006E36D8">
        <w:rPr>
          <w:rFonts w:eastAsia="Times New Roman" w:cstheme="minorHAnsi"/>
          <w:lang w:eastAsia="hr-HR"/>
        </w:rPr>
        <w:t xml:space="preserve"> p</w:t>
      </w:r>
      <w:r w:rsidR="004A3CBF">
        <w:rPr>
          <w:rFonts w:eastAsia="Times New Roman" w:cstheme="minorHAnsi"/>
          <w:lang w:eastAsia="hr-HR"/>
        </w:rPr>
        <w:t>rihod</w:t>
      </w:r>
      <w:r w:rsidR="002C4FDB">
        <w:rPr>
          <w:rFonts w:eastAsia="Times New Roman" w:cstheme="minorHAnsi"/>
          <w:lang w:eastAsia="hr-HR"/>
        </w:rPr>
        <w:t>e</w:t>
      </w:r>
      <w:r w:rsidR="004A3CBF">
        <w:rPr>
          <w:rFonts w:eastAsia="Times New Roman" w:cstheme="minorHAnsi"/>
          <w:lang w:eastAsia="hr-HR"/>
        </w:rPr>
        <w:t xml:space="preserve"> iz nadležnog proračun</w:t>
      </w:r>
      <w:r w:rsidR="006543BB">
        <w:rPr>
          <w:rFonts w:eastAsia="Times New Roman" w:cstheme="minorHAnsi"/>
          <w:lang w:eastAsia="hr-HR"/>
        </w:rPr>
        <w:t xml:space="preserve"> z</w:t>
      </w:r>
      <w:r w:rsidR="006A2316">
        <w:rPr>
          <w:rFonts w:eastAsia="Times New Roman" w:cstheme="minorHAnsi"/>
          <w:lang w:eastAsia="hr-HR"/>
        </w:rPr>
        <w:t xml:space="preserve">a </w:t>
      </w:r>
      <w:r w:rsidR="006E36D8">
        <w:rPr>
          <w:rFonts w:eastAsia="Times New Roman" w:cstheme="minorHAnsi"/>
          <w:lang w:eastAsia="hr-HR"/>
        </w:rPr>
        <w:t>projekt Pomozimo jedni drugima VII</w:t>
      </w:r>
      <w:r w:rsidR="002C4FDB">
        <w:rPr>
          <w:rFonts w:eastAsia="Times New Roman" w:cstheme="minorHAnsi"/>
          <w:lang w:eastAsia="hr-HR"/>
        </w:rPr>
        <w:t xml:space="preserve"> koji prema ugovoru traje do 2027. godine.</w:t>
      </w:r>
    </w:p>
    <w:p w14:paraId="5D0A5619" w14:textId="77777777" w:rsidR="00E526FC" w:rsidRDefault="00E526FC" w:rsidP="00710230">
      <w:pPr>
        <w:rPr>
          <w:sz w:val="24"/>
          <w:szCs w:val="24"/>
        </w:rPr>
      </w:pPr>
    </w:p>
    <w:p w14:paraId="2ECAEFA4" w14:textId="0DCD0FE0" w:rsidR="00710230" w:rsidRPr="009559C2" w:rsidRDefault="00710230" w:rsidP="00710230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9559C2">
        <w:rPr>
          <w:b/>
          <w:bCs/>
          <w:sz w:val="24"/>
          <w:szCs w:val="24"/>
          <w:u w:val="single"/>
        </w:rPr>
        <w:t>Pomoći iz inozemstva i od subjekata unutar općeg proračuna (63)</w:t>
      </w:r>
    </w:p>
    <w:p w14:paraId="310F40EE" w14:textId="128DB139" w:rsidR="00E526FC" w:rsidRDefault="00710230" w:rsidP="00E526F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Pomoći iz inozemstva i od subjekata unutar općeg proračuna planiran</w:t>
      </w:r>
      <w:r w:rsidR="00445814">
        <w:rPr>
          <w:rFonts w:eastAsia="Times New Roman" w:cstheme="minorHAnsi"/>
          <w:lang w:eastAsia="hr-HR"/>
        </w:rPr>
        <w:t>e</w:t>
      </w:r>
      <w:r>
        <w:rPr>
          <w:rFonts w:eastAsia="Times New Roman" w:cstheme="minorHAnsi"/>
          <w:lang w:eastAsia="hr-HR"/>
        </w:rPr>
        <w:t xml:space="preserve"> su</w:t>
      </w:r>
      <w:r w:rsidR="00445814">
        <w:rPr>
          <w:rFonts w:eastAsia="Times New Roman" w:cstheme="minorHAnsi"/>
          <w:lang w:eastAsia="hr-HR"/>
        </w:rPr>
        <w:t xml:space="preserve"> za 202</w:t>
      </w:r>
      <w:r w:rsidR="00CF1186">
        <w:rPr>
          <w:rFonts w:eastAsia="Times New Roman" w:cstheme="minorHAnsi"/>
          <w:lang w:eastAsia="hr-HR"/>
        </w:rPr>
        <w:t>6</w:t>
      </w:r>
      <w:r w:rsidR="00445814">
        <w:rPr>
          <w:rFonts w:eastAsia="Times New Roman" w:cstheme="minorHAnsi"/>
          <w:lang w:eastAsia="hr-HR"/>
        </w:rPr>
        <w:t>. godinu</w:t>
      </w:r>
      <w:r>
        <w:rPr>
          <w:rFonts w:eastAsia="Times New Roman" w:cstheme="minorHAnsi"/>
          <w:lang w:eastAsia="hr-HR"/>
        </w:rPr>
        <w:t xml:space="preserve"> u iznosu</w:t>
      </w:r>
      <w:r w:rsidR="00E526FC">
        <w:rPr>
          <w:rFonts w:eastAsia="Times New Roman" w:cstheme="minorHAnsi"/>
          <w:lang w:eastAsia="hr-HR"/>
        </w:rPr>
        <w:t xml:space="preserve"> 3.</w:t>
      </w:r>
      <w:r w:rsidR="00296D36">
        <w:rPr>
          <w:rFonts w:eastAsia="Times New Roman" w:cstheme="minorHAnsi"/>
          <w:lang w:eastAsia="hr-HR"/>
        </w:rPr>
        <w:t>257.372,00</w:t>
      </w:r>
      <w:r w:rsidR="00E526F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eura</w:t>
      </w:r>
      <w:r w:rsidR="00E526FC">
        <w:rPr>
          <w:rFonts w:eastAsia="Times New Roman" w:cstheme="minorHAnsi"/>
          <w:lang w:eastAsia="hr-HR"/>
        </w:rPr>
        <w:t>.</w:t>
      </w:r>
      <w:r w:rsidR="00E526FC" w:rsidRPr="00E526FC">
        <w:rPr>
          <w:rFonts w:eastAsia="Times New Roman" w:cstheme="minorHAnsi"/>
          <w:lang w:eastAsia="hr-HR"/>
        </w:rPr>
        <w:t xml:space="preserve"> </w:t>
      </w:r>
      <w:r w:rsidR="00E526FC">
        <w:rPr>
          <w:rFonts w:eastAsia="Times New Roman" w:cstheme="minorHAnsi"/>
          <w:lang w:eastAsia="hr-HR"/>
        </w:rPr>
        <w:t xml:space="preserve">Planirana sredstva odnose se na sredstva iz državnog proračuna  za županijska stručna vijeća u iznosu od </w:t>
      </w:r>
      <w:r w:rsidR="00B72A5C">
        <w:rPr>
          <w:rFonts w:eastAsia="Times New Roman" w:cstheme="minorHAnsi"/>
          <w:lang w:eastAsia="hr-HR"/>
        </w:rPr>
        <w:t>9</w:t>
      </w:r>
      <w:r w:rsidR="00E526FC">
        <w:rPr>
          <w:rFonts w:eastAsia="Times New Roman" w:cstheme="minorHAnsi"/>
          <w:lang w:eastAsia="hr-HR"/>
        </w:rPr>
        <w:t>80,00 eura, za nabavu radnih udžbenika obveznih i izbornih predmeta u iznosu od 41.000,00 eura, za sufinanciranje troškova prehrane učenika u iznosu od 12</w:t>
      </w:r>
      <w:r w:rsidR="00B72A5C">
        <w:rPr>
          <w:rFonts w:eastAsia="Times New Roman" w:cstheme="minorHAnsi"/>
          <w:lang w:eastAsia="hr-HR"/>
        </w:rPr>
        <w:t>7</w:t>
      </w:r>
      <w:r w:rsidR="00E526FC">
        <w:rPr>
          <w:rFonts w:eastAsia="Times New Roman" w:cstheme="minorHAnsi"/>
          <w:lang w:eastAsia="hr-HR"/>
        </w:rPr>
        <w:t>.000,00 eura, za isplatu mentorstva u iznosu 500,00 eura, na nabavu higijenskih potrepština u iznosu od 1.700,00 eura, na sredstva za isplatu plaća i doprinosa, naknade za prijevoz i ostalih materijalnih prava zaposlenicima u iznosu od 3.0</w:t>
      </w:r>
      <w:r w:rsidR="00B72A5C">
        <w:rPr>
          <w:rFonts w:eastAsia="Times New Roman" w:cstheme="minorHAnsi"/>
          <w:lang w:eastAsia="hr-HR"/>
        </w:rPr>
        <w:t>63.660,</w:t>
      </w:r>
      <w:r w:rsidR="00E526FC">
        <w:rPr>
          <w:rFonts w:eastAsia="Times New Roman" w:cstheme="minorHAnsi"/>
          <w:lang w:eastAsia="hr-HR"/>
        </w:rPr>
        <w:t>00 eura, na nabavu udžbenika trajnog karaktera u iznosu 18.000,00 eura te na opremanje školske knjižnice lektirom u iznosu od 1.232,00 eura.</w:t>
      </w:r>
    </w:p>
    <w:p w14:paraId="3AEB35D6" w14:textId="79330C15" w:rsidR="00C139AC" w:rsidRDefault="00E526FC" w:rsidP="00CB426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Planirana su i sredstva od Koprivničko-križevačke županije u iznosu </w:t>
      </w:r>
      <w:r w:rsidR="00296D36">
        <w:rPr>
          <w:rFonts w:eastAsia="Times New Roman" w:cstheme="minorHAnsi"/>
          <w:lang w:eastAsia="hr-HR"/>
        </w:rPr>
        <w:t>3.300,00</w:t>
      </w:r>
      <w:r>
        <w:rPr>
          <w:rFonts w:eastAsia="Times New Roman" w:cstheme="minorHAnsi"/>
          <w:lang w:eastAsia="hr-HR"/>
        </w:rPr>
        <w:t xml:space="preserve"> eura za školska nat</w:t>
      </w:r>
      <w:r w:rsidR="00C139AC">
        <w:rPr>
          <w:rFonts w:eastAsia="Times New Roman" w:cstheme="minorHAnsi"/>
          <w:lang w:eastAsia="hr-HR"/>
        </w:rPr>
        <w:t>jecanja.</w:t>
      </w:r>
      <w:r w:rsidR="00C139AC" w:rsidRPr="00C139AC">
        <w:rPr>
          <w:rFonts w:eastAsia="Times New Roman" w:cstheme="minorHAnsi"/>
          <w:lang w:eastAsia="hr-HR"/>
        </w:rPr>
        <w:t xml:space="preserve"> </w:t>
      </w:r>
    </w:p>
    <w:p w14:paraId="7A19153D" w14:textId="77777777" w:rsidR="00CB426E" w:rsidRDefault="00CB426E" w:rsidP="00CB426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A93128" w14:textId="18B9FBFB" w:rsidR="00710230" w:rsidRPr="0053189E" w:rsidRDefault="00445814" w:rsidP="00E526F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rFonts w:eastAsia="Times New Roman" w:cstheme="minorHAnsi"/>
          <w:lang w:eastAsia="hr-HR"/>
        </w:rPr>
        <w:t xml:space="preserve"> </w:t>
      </w:r>
      <w:r w:rsidR="00710230" w:rsidRPr="0053189E">
        <w:rPr>
          <w:b/>
          <w:bCs/>
          <w:sz w:val="24"/>
          <w:szCs w:val="24"/>
          <w:u w:val="single"/>
        </w:rPr>
        <w:t>Prihodi od imovine (64)</w:t>
      </w:r>
    </w:p>
    <w:p w14:paraId="4ECF9855" w14:textId="34B7F71A" w:rsidR="00710230" w:rsidRDefault="00710230" w:rsidP="00710230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od imovine</w:t>
      </w:r>
      <w:r w:rsidR="00613857">
        <w:rPr>
          <w:rFonts w:eastAsia="Times New Roman" w:cstheme="minorHAnsi"/>
          <w:lang w:eastAsia="hr-HR"/>
        </w:rPr>
        <w:t xml:space="preserve"> ostvaruju se od dividendi na dionice ZABA-e  i planirani su u iznosu</w:t>
      </w:r>
      <w:r w:rsidR="00E526FC">
        <w:rPr>
          <w:rFonts w:eastAsia="Times New Roman" w:cstheme="minorHAnsi"/>
          <w:lang w:eastAsia="hr-HR"/>
        </w:rPr>
        <w:t xml:space="preserve"> 1.800,00</w:t>
      </w:r>
      <w:r w:rsidR="00613857">
        <w:rPr>
          <w:rFonts w:eastAsia="Times New Roman" w:cstheme="minorHAnsi"/>
          <w:lang w:eastAsia="hr-HR"/>
        </w:rPr>
        <w:t xml:space="preserve">  eura </w:t>
      </w:r>
      <w:r w:rsidR="00122F05">
        <w:rPr>
          <w:rFonts w:eastAsia="Times New Roman" w:cstheme="minorHAnsi"/>
          <w:lang w:eastAsia="hr-HR"/>
        </w:rPr>
        <w:t>prema</w:t>
      </w:r>
      <w:r w:rsidR="00613857">
        <w:rPr>
          <w:rFonts w:eastAsia="Times New Roman" w:cstheme="minorHAnsi"/>
          <w:lang w:eastAsia="hr-HR"/>
        </w:rPr>
        <w:t xml:space="preserve"> dosadašnjem ostvarenju.</w:t>
      </w:r>
    </w:p>
    <w:p w14:paraId="0D13D5B1" w14:textId="77777777" w:rsidR="00710230" w:rsidRPr="00A954AD" w:rsidRDefault="00710230" w:rsidP="00710230">
      <w:pPr>
        <w:rPr>
          <w:b/>
          <w:bCs/>
          <w:sz w:val="24"/>
          <w:szCs w:val="24"/>
          <w:u w:val="single"/>
        </w:rPr>
      </w:pPr>
      <w:r w:rsidRPr="00A954AD">
        <w:rPr>
          <w:b/>
          <w:bCs/>
          <w:sz w:val="24"/>
          <w:szCs w:val="24"/>
          <w:u w:val="single"/>
        </w:rPr>
        <w:t>Prihodi od upravnih i administrativnih pristojbi, pristojbi po posebnim propisima i naknada (65)</w:t>
      </w:r>
    </w:p>
    <w:p w14:paraId="61DA0AD6" w14:textId="77777777" w:rsidR="00EE1B65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od upravnih i administrativnih pristojbi, pristojbi po posebnim propisima i naknada planirani su</w:t>
      </w:r>
      <w:r w:rsidR="00640A2A">
        <w:rPr>
          <w:rFonts w:eastAsia="Times New Roman" w:cstheme="minorHAnsi"/>
          <w:lang w:eastAsia="hr-HR"/>
        </w:rPr>
        <w:t xml:space="preserve"> za 202</w:t>
      </w:r>
      <w:r w:rsidR="00251593">
        <w:rPr>
          <w:rFonts w:eastAsia="Times New Roman" w:cstheme="minorHAnsi"/>
          <w:lang w:eastAsia="hr-HR"/>
        </w:rPr>
        <w:t>6</w:t>
      </w:r>
      <w:r w:rsidR="00640A2A">
        <w:rPr>
          <w:rFonts w:eastAsia="Times New Roman" w:cstheme="minorHAnsi"/>
          <w:lang w:eastAsia="hr-HR"/>
        </w:rPr>
        <w:t>. godinu</w:t>
      </w:r>
      <w:r>
        <w:rPr>
          <w:rFonts w:eastAsia="Times New Roman" w:cstheme="minorHAnsi"/>
          <w:lang w:eastAsia="hr-HR"/>
        </w:rPr>
        <w:t xml:space="preserve"> u iznosu</w:t>
      </w:r>
      <w:r w:rsidR="00DB6726">
        <w:rPr>
          <w:rFonts w:eastAsia="Times New Roman" w:cstheme="minorHAnsi"/>
          <w:lang w:eastAsia="hr-HR"/>
        </w:rPr>
        <w:t xml:space="preserve"> </w:t>
      </w:r>
      <w:r w:rsidR="00251593">
        <w:rPr>
          <w:rFonts w:eastAsia="Times New Roman" w:cstheme="minorHAnsi"/>
          <w:lang w:eastAsia="hr-HR"/>
        </w:rPr>
        <w:t>2</w:t>
      </w:r>
      <w:r w:rsidR="006D3F21">
        <w:rPr>
          <w:rFonts w:eastAsia="Times New Roman" w:cstheme="minorHAnsi"/>
          <w:lang w:eastAsia="hr-HR"/>
        </w:rPr>
        <w:t>1.000,00</w:t>
      </w:r>
      <w:r>
        <w:rPr>
          <w:rFonts w:eastAsia="Times New Roman" w:cstheme="minorHAnsi"/>
          <w:lang w:eastAsia="hr-HR"/>
        </w:rPr>
        <w:t xml:space="preserve">  eura, </w:t>
      </w:r>
      <w:r w:rsidR="000E2D1B">
        <w:rPr>
          <w:rFonts w:eastAsia="Times New Roman" w:cstheme="minorHAnsi"/>
          <w:lang w:eastAsia="hr-HR"/>
        </w:rPr>
        <w:t xml:space="preserve">a </w:t>
      </w:r>
      <w:r w:rsidR="006D4C96">
        <w:rPr>
          <w:rFonts w:eastAsia="Times New Roman" w:cstheme="minorHAnsi"/>
          <w:lang w:eastAsia="hr-HR"/>
        </w:rPr>
        <w:t xml:space="preserve">obuhvaćaju uplate roditelja za </w:t>
      </w:r>
      <w:r w:rsidR="000E2D1B">
        <w:rPr>
          <w:rFonts w:eastAsia="Times New Roman" w:cstheme="minorHAnsi"/>
          <w:lang w:eastAsia="hr-HR"/>
        </w:rPr>
        <w:t>sufin</w:t>
      </w:r>
      <w:r>
        <w:rPr>
          <w:rFonts w:eastAsia="Times New Roman" w:cstheme="minorHAnsi"/>
          <w:lang w:eastAsia="hr-HR"/>
        </w:rPr>
        <w:t>anciranje usl</w:t>
      </w:r>
      <w:r w:rsidR="00EE1B65">
        <w:rPr>
          <w:rFonts w:eastAsia="Times New Roman" w:cstheme="minorHAnsi"/>
          <w:lang w:eastAsia="hr-HR"/>
        </w:rPr>
        <w:t>uge</w:t>
      </w:r>
    </w:p>
    <w:p w14:paraId="1CDC2B2D" w14:textId="04DEA590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produženog boravk</w:t>
      </w:r>
      <w:r w:rsidR="000E2D1B">
        <w:rPr>
          <w:rFonts w:eastAsia="Times New Roman" w:cstheme="minorHAnsi"/>
          <w:lang w:eastAsia="hr-HR"/>
        </w:rPr>
        <w:t>a</w:t>
      </w:r>
      <w:r w:rsidR="00125A61">
        <w:rPr>
          <w:rFonts w:eastAsia="Times New Roman" w:cstheme="minorHAnsi"/>
          <w:lang w:eastAsia="hr-HR"/>
        </w:rPr>
        <w:t xml:space="preserve"> </w:t>
      </w:r>
      <w:r w:rsidR="000C2372">
        <w:rPr>
          <w:rFonts w:eastAsia="Times New Roman" w:cstheme="minorHAnsi"/>
          <w:lang w:eastAsia="hr-HR"/>
        </w:rPr>
        <w:t>t</w:t>
      </w:r>
      <w:r w:rsidR="00E66373">
        <w:rPr>
          <w:rFonts w:eastAsia="Times New Roman" w:cstheme="minorHAnsi"/>
          <w:lang w:eastAsia="hr-HR"/>
        </w:rPr>
        <w:t>e uplate roditelja za oštećene udžbenike.</w:t>
      </w:r>
    </w:p>
    <w:p w14:paraId="4571280D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</w:p>
    <w:p w14:paraId="211A583C" w14:textId="77777777" w:rsidR="00710230" w:rsidRPr="006261EB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6261EB">
        <w:rPr>
          <w:rFonts w:eastAsia="Times New Roman" w:cstheme="minorHAnsi"/>
          <w:b/>
          <w:bCs/>
          <w:u w:val="single"/>
          <w:lang w:eastAsia="hr-HR"/>
        </w:rPr>
        <w:t>Prihodi od prodaje proizvoda i robe te pruženih usluga i prihodi od donacija (66)</w:t>
      </w:r>
    </w:p>
    <w:p w14:paraId="58E67790" w14:textId="1662A8C5" w:rsidR="000E2D1B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od prodaje proizvoda i robe te pruženih usluga</w:t>
      </w:r>
      <w:r w:rsidR="00282E5B">
        <w:rPr>
          <w:rFonts w:eastAsia="Times New Roman" w:cstheme="minorHAnsi"/>
          <w:lang w:eastAsia="hr-HR"/>
        </w:rPr>
        <w:t xml:space="preserve"> i</w:t>
      </w:r>
      <w:r>
        <w:rPr>
          <w:rFonts w:eastAsia="Times New Roman" w:cstheme="minorHAnsi"/>
          <w:lang w:eastAsia="hr-HR"/>
        </w:rPr>
        <w:t xml:space="preserve"> prihodi od donacija planirani su u iznosu </w:t>
      </w:r>
      <w:r w:rsidR="006D3F21">
        <w:rPr>
          <w:rFonts w:eastAsia="Times New Roman" w:cstheme="minorHAnsi"/>
          <w:lang w:eastAsia="hr-HR"/>
        </w:rPr>
        <w:t>30.100</w:t>
      </w:r>
      <w:r w:rsidR="00282E5B">
        <w:rPr>
          <w:rFonts w:eastAsia="Times New Roman" w:cstheme="minorHAnsi"/>
          <w:lang w:eastAsia="hr-HR"/>
        </w:rPr>
        <w:t xml:space="preserve">,00 </w:t>
      </w:r>
      <w:r>
        <w:rPr>
          <w:rFonts w:eastAsia="Times New Roman" w:cstheme="minorHAnsi"/>
          <w:lang w:eastAsia="hr-HR"/>
        </w:rPr>
        <w:t>eura</w:t>
      </w:r>
      <w:r w:rsidR="00282E5B">
        <w:rPr>
          <w:rFonts w:eastAsia="Times New Roman" w:cstheme="minorHAnsi"/>
          <w:lang w:eastAsia="hr-HR"/>
        </w:rPr>
        <w:t xml:space="preserve">, </w:t>
      </w:r>
      <w:r w:rsidR="00785189">
        <w:rPr>
          <w:rFonts w:eastAsia="Times New Roman" w:cstheme="minorHAnsi"/>
          <w:lang w:eastAsia="hr-HR"/>
        </w:rPr>
        <w:t>a radi se o prihodim</w:t>
      </w:r>
      <w:r w:rsidR="00014150">
        <w:rPr>
          <w:rFonts w:eastAsia="Times New Roman" w:cstheme="minorHAnsi"/>
          <w:lang w:eastAsia="hr-HR"/>
        </w:rPr>
        <w:t>a</w:t>
      </w:r>
      <w:r w:rsidR="00785189">
        <w:rPr>
          <w:rFonts w:eastAsia="Times New Roman" w:cstheme="minorHAnsi"/>
          <w:lang w:eastAsia="hr-HR"/>
        </w:rPr>
        <w:t xml:space="preserve"> iznajmljivanja sportske dvorane</w:t>
      </w:r>
      <w:r w:rsidR="00F72A0F">
        <w:rPr>
          <w:rFonts w:eastAsia="Times New Roman" w:cstheme="minorHAnsi"/>
          <w:lang w:eastAsia="hr-HR"/>
        </w:rPr>
        <w:t xml:space="preserve">, stanova i školskog prostora </w:t>
      </w:r>
      <w:r w:rsidR="00014150">
        <w:rPr>
          <w:rFonts w:eastAsia="Times New Roman" w:cstheme="minorHAnsi"/>
          <w:lang w:eastAsia="hr-HR"/>
        </w:rPr>
        <w:t>te</w:t>
      </w:r>
      <w:r w:rsidR="00F72A0F">
        <w:rPr>
          <w:rFonts w:eastAsia="Times New Roman" w:cstheme="minorHAnsi"/>
          <w:lang w:eastAsia="hr-HR"/>
        </w:rPr>
        <w:t xml:space="preserve"> donacijama kojima je svrha određena od donatora </w:t>
      </w:r>
      <w:r w:rsidR="006D3F21">
        <w:rPr>
          <w:rFonts w:eastAsia="Times New Roman" w:cstheme="minorHAnsi"/>
          <w:lang w:eastAsia="hr-HR"/>
        </w:rPr>
        <w:t xml:space="preserve">odnosno </w:t>
      </w:r>
      <w:r w:rsidR="000E2D1B">
        <w:rPr>
          <w:rFonts w:eastAsia="Times New Roman" w:cstheme="minorHAnsi"/>
          <w:lang w:eastAsia="hr-HR"/>
        </w:rPr>
        <w:t>tekuć</w:t>
      </w:r>
      <w:r w:rsidR="00014150">
        <w:rPr>
          <w:rFonts w:eastAsia="Times New Roman" w:cstheme="minorHAnsi"/>
          <w:lang w:eastAsia="hr-HR"/>
        </w:rPr>
        <w:t>ih</w:t>
      </w:r>
      <w:r w:rsidR="000E2D1B">
        <w:rPr>
          <w:rFonts w:eastAsia="Times New Roman" w:cstheme="minorHAnsi"/>
          <w:lang w:eastAsia="hr-HR"/>
        </w:rPr>
        <w:t xml:space="preserve"> donacij</w:t>
      </w:r>
      <w:r w:rsidR="005147FA">
        <w:rPr>
          <w:rFonts w:eastAsia="Times New Roman" w:cstheme="minorHAnsi"/>
          <w:lang w:eastAsia="hr-HR"/>
        </w:rPr>
        <w:t>a</w:t>
      </w:r>
      <w:r w:rsidR="000E2D1B">
        <w:rPr>
          <w:rFonts w:eastAsia="Times New Roman" w:cstheme="minorHAnsi"/>
          <w:lang w:eastAsia="hr-HR"/>
        </w:rPr>
        <w:t xml:space="preserve"> od fizičkih osoba</w:t>
      </w:r>
      <w:r w:rsidR="00282E5B">
        <w:rPr>
          <w:rFonts w:eastAsia="Times New Roman" w:cstheme="minorHAnsi"/>
          <w:lang w:eastAsia="hr-HR"/>
        </w:rPr>
        <w:t xml:space="preserve"> (osiguranje učenika).</w:t>
      </w:r>
    </w:p>
    <w:p w14:paraId="50691B50" w14:textId="77777777" w:rsidR="000E2D1B" w:rsidRDefault="000E2D1B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20CBC5A" w14:textId="1C85B478" w:rsidR="00710230" w:rsidRPr="00730C76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30C76">
        <w:rPr>
          <w:rFonts w:eastAsia="Times New Roman" w:cstheme="minorHAnsi"/>
          <w:b/>
          <w:bCs/>
          <w:u w:val="single"/>
          <w:lang w:eastAsia="hr-HR"/>
        </w:rPr>
        <w:t>Prihodi iz nadležnog proračuna i od HZZO-a temeljem ugovornih obveza (67)</w:t>
      </w:r>
    </w:p>
    <w:p w14:paraId="1508B347" w14:textId="4386A1CE" w:rsidR="00710230" w:rsidRPr="00C30BFA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30C76">
        <w:rPr>
          <w:rFonts w:eastAsia="Times New Roman" w:cstheme="minorHAnsi"/>
          <w:lang w:eastAsia="hr-HR"/>
        </w:rPr>
        <w:t>Prihodi iz nadležnog proračuna i od HZZO-a temeljem ugovornih obveza planirani su</w:t>
      </w:r>
      <w:r w:rsidR="000E2D1B" w:rsidRPr="00730C76">
        <w:rPr>
          <w:rFonts w:eastAsia="Times New Roman" w:cstheme="minorHAnsi"/>
          <w:lang w:eastAsia="hr-HR"/>
        </w:rPr>
        <w:t xml:space="preserve"> za 202</w:t>
      </w:r>
      <w:r w:rsidR="00863B6E" w:rsidRPr="00730C76">
        <w:rPr>
          <w:rFonts w:eastAsia="Times New Roman" w:cstheme="minorHAnsi"/>
          <w:lang w:eastAsia="hr-HR"/>
        </w:rPr>
        <w:t>6</w:t>
      </w:r>
      <w:r w:rsidR="000E2D1B" w:rsidRPr="00730C76">
        <w:rPr>
          <w:rFonts w:eastAsia="Times New Roman" w:cstheme="minorHAnsi"/>
          <w:lang w:eastAsia="hr-HR"/>
        </w:rPr>
        <w:t xml:space="preserve">. godinu u ukupnom </w:t>
      </w:r>
      <w:r w:rsidRPr="00730C76">
        <w:rPr>
          <w:rFonts w:eastAsia="Times New Roman" w:cstheme="minorHAnsi"/>
          <w:lang w:eastAsia="hr-HR"/>
        </w:rPr>
        <w:t>iznosu</w:t>
      </w:r>
      <w:r w:rsidR="008A2713" w:rsidRPr="00730C76">
        <w:rPr>
          <w:rFonts w:eastAsia="Times New Roman" w:cstheme="minorHAnsi"/>
          <w:lang w:eastAsia="hr-HR"/>
        </w:rPr>
        <w:t xml:space="preserve"> 1.</w:t>
      </w:r>
      <w:r w:rsidR="00C116BC" w:rsidRPr="00730C76">
        <w:rPr>
          <w:rFonts w:eastAsia="Times New Roman" w:cstheme="minorHAnsi"/>
          <w:lang w:eastAsia="hr-HR"/>
        </w:rPr>
        <w:t>4</w:t>
      </w:r>
      <w:r w:rsidR="00664DFB">
        <w:rPr>
          <w:rFonts w:eastAsia="Times New Roman" w:cstheme="minorHAnsi"/>
          <w:lang w:eastAsia="hr-HR"/>
        </w:rPr>
        <w:t>06.791</w:t>
      </w:r>
      <w:r w:rsidR="00C51B99" w:rsidRPr="00730C76">
        <w:rPr>
          <w:rFonts w:eastAsia="Times New Roman" w:cstheme="minorHAnsi"/>
          <w:lang w:eastAsia="hr-HR"/>
        </w:rPr>
        <w:t>,00</w:t>
      </w:r>
      <w:r w:rsidR="008A2713" w:rsidRPr="00730C76">
        <w:rPr>
          <w:rFonts w:eastAsia="Times New Roman" w:cstheme="minorHAnsi"/>
          <w:lang w:eastAsia="hr-HR"/>
        </w:rPr>
        <w:t xml:space="preserve"> </w:t>
      </w:r>
      <w:r w:rsidRPr="00730C76">
        <w:rPr>
          <w:rFonts w:eastAsia="Times New Roman" w:cstheme="minorHAnsi"/>
          <w:lang w:eastAsia="hr-HR"/>
        </w:rPr>
        <w:t>eura</w:t>
      </w:r>
      <w:r w:rsidR="002A6532" w:rsidRPr="00730C76">
        <w:rPr>
          <w:rFonts w:eastAsia="Times New Roman" w:cstheme="minorHAnsi"/>
          <w:lang w:eastAsia="hr-HR"/>
        </w:rPr>
        <w:t xml:space="preserve"> i obuhvaćaju prihode za</w:t>
      </w:r>
      <w:r w:rsidR="000B52F1">
        <w:rPr>
          <w:rFonts w:eastAsia="Times New Roman" w:cstheme="minorHAnsi"/>
          <w:lang w:eastAsia="hr-HR"/>
        </w:rPr>
        <w:t xml:space="preserve"> </w:t>
      </w:r>
      <w:r w:rsidR="008A2713" w:rsidRPr="00730C76">
        <w:rPr>
          <w:rFonts w:eastAsia="Times New Roman" w:cstheme="minorHAnsi"/>
          <w:lang w:eastAsia="hr-HR"/>
        </w:rPr>
        <w:t>materijalne rashode</w:t>
      </w:r>
      <w:r w:rsidR="003D2D6C" w:rsidRPr="00730C76">
        <w:rPr>
          <w:rFonts w:eastAsia="Times New Roman" w:cstheme="minorHAnsi"/>
          <w:lang w:eastAsia="hr-HR"/>
        </w:rPr>
        <w:t xml:space="preserve"> (</w:t>
      </w:r>
      <w:r w:rsidR="00A13E59">
        <w:rPr>
          <w:rFonts w:eastAsia="Times New Roman" w:cstheme="minorHAnsi"/>
          <w:lang w:eastAsia="hr-HR"/>
        </w:rPr>
        <w:t>naknade troškova zaposlenima, rashode za materijal i energiju</w:t>
      </w:r>
      <w:r w:rsidR="009C00AB" w:rsidRPr="00730C76">
        <w:rPr>
          <w:rFonts w:eastAsia="Times New Roman" w:cstheme="minorHAnsi"/>
          <w:lang w:eastAsia="hr-HR"/>
        </w:rPr>
        <w:t xml:space="preserve">, </w:t>
      </w:r>
      <w:r w:rsidR="00A13E59">
        <w:rPr>
          <w:rFonts w:eastAsia="Times New Roman" w:cstheme="minorHAnsi"/>
          <w:lang w:eastAsia="hr-HR"/>
        </w:rPr>
        <w:t>rashode za usluge), financi</w:t>
      </w:r>
      <w:r w:rsidR="001F1CDB">
        <w:rPr>
          <w:rFonts w:eastAsia="Times New Roman" w:cstheme="minorHAnsi"/>
          <w:lang w:eastAsia="hr-HR"/>
        </w:rPr>
        <w:t>jske rashode</w:t>
      </w:r>
      <w:r w:rsidR="00736B30">
        <w:rPr>
          <w:rFonts w:eastAsia="Times New Roman" w:cstheme="minorHAnsi"/>
          <w:lang w:eastAsia="hr-HR"/>
        </w:rPr>
        <w:t xml:space="preserve"> i</w:t>
      </w:r>
      <w:r w:rsidR="002F1ACA">
        <w:rPr>
          <w:rFonts w:eastAsia="Times New Roman" w:cstheme="minorHAnsi"/>
          <w:lang w:eastAsia="hr-HR"/>
        </w:rPr>
        <w:t xml:space="preserve"> za</w:t>
      </w:r>
      <w:r w:rsidR="00736B30">
        <w:rPr>
          <w:rFonts w:eastAsia="Times New Roman" w:cstheme="minorHAnsi"/>
          <w:lang w:eastAsia="hr-HR"/>
        </w:rPr>
        <w:t xml:space="preserve"> </w:t>
      </w:r>
      <w:r w:rsidR="00AD5AE9" w:rsidRPr="00730C76">
        <w:rPr>
          <w:rFonts w:eastAsia="Times New Roman" w:cstheme="minorHAnsi"/>
          <w:lang w:eastAsia="hr-HR"/>
        </w:rPr>
        <w:t xml:space="preserve">nabavu </w:t>
      </w:r>
      <w:r w:rsidR="00736B30">
        <w:rPr>
          <w:rFonts w:eastAsia="Times New Roman" w:cstheme="minorHAnsi"/>
          <w:lang w:eastAsia="hr-HR"/>
        </w:rPr>
        <w:t>nefinancijske imovine</w:t>
      </w:r>
      <w:r w:rsidR="001F1CDB">
        <w:rPr>
          <w:rFonts w:eastAsia="Times New Roman" w:cstheme="minorHAnsi"/>
          <w:lang w:eastAsia="hr-HR"/>
        </w:rPr>
        <w:t>. Obuhvaćaju i</w:t>
      </w:r>
      <w:r w:rsidR="009C00AB" w:rsidRPr="00730C76">
        <w:rPr>
          <w:rFonts w:eastAsia="Times New Roman" w:cstheme="minorHAnsi"/>
          <w:lang w:eastAsia="hr-HR"/>
        </w:rPr>
        <w:t xml:space="preserve"> </w:t>
      </w:r>
      <w:r w:rsidR="002A6532" w:rsidRPr="00730C76">
        <w:rPr>
          <w:rFonts w:eastAsia="Times New Roman" w:cstheme="minorHAnsi"/>
          <w:lang w:eastAsia="hr-HR"/>
        </w:rPr>
        <w:t>prihode za gradska natjecanja, sredstva za pokrivanje dijela troškova sportske dvorane, najam nove spo</w:t>
      </w:r>
      <w:r w:rsidR="00922D64" w:rsidRPr="00730C76">
        <w:rPr>
          <w:rFonts w:eastAsia="Times New Roman" w:cstheme="minorHAnsi"/>
          <w:lang w:eastAsia="hr-HR"/>
        </w:rPr>
        <w:t>rtske</w:t>
      </w:r>
      <w:r w:rsidR="002A6532" w:rsidRPr="00730C76">
        <w:rPr>
          <w:rFonts w:eastAsia="Times New Roman" w:cstheme="minorHAnsi"/>
          <w:lang w:eastAsia="hr-HR"/>
        </w:rPr>
        <w:t xml:space="preserve"> dvorane, Školski medni dan, dar za Sv. Nikolu, </w:t>
      </w:r>
      <w:bookmarkStart w:id="0" w:name="_Hlk181368718"/>
      <w:r w:rsidR="00736B30">
        <w:rPr>
          <w:rFonts w:eastAsia="Times New Roman" w:cstheme="minorHAnsi"/>
          <w:lang w:eastAsia="hr-HR"/>
        </w:rPr>
        <w:t xml:space="preserve"> Školsku shemu te </w:t>
      </w:r>
      <w:r w:rsidR="002A6532" w:rsidRPr="00730C76">
        <w:rPr>
          <w:rFonts w:eastAsia="Times New Roman" w:cstheme="minorHAnsi"/>
          <w:lang w:eastAsia="hr-HR"/>
        </w:rPr>
        <w:t>prihode za isplatu</w:t>
      </w:r>
      <w:r w:rsidR="007F300A" w:rsidRPr="00730C76">
        <w:rPr>
          <w:rFonts w:eastAsia="Times New Roman" w:cstheme="minorHAnsi"/>
          <w:lang w:eastAsia="hr-HR"/>
        </w:rPr>
        <w:t xml:space="preserve"> plaća i materijalnih prava pomoćnicima u nastav</w:t>
      </w:r>
      <w:r w:rsidR="00C30BFA" w:rsidRPr="00730C76">
        <w:rPr>
          <w:rFonts w:eastAsia="Times New Roman" w:cstheme="minorHAnsi"/>
          <w:lang w:eastAsia="hr-HR"/>
        </w:rPr>
        <w:t>i,</w:t>
      </w:r>
      <w:r w:rsidR="001E6052" w:rsidRPr="00730C76">
        <w:rPr>
          <w:rFonts w:eastAsia="Times New Roman" w:cstheme="minorHAnsi"/>
          <w:lang w:eastAsia="hr-HR"/>
        </w:rPr>
        <w:t xml:space="preserve"> učiteljima u produženom boravku</w:t>
      </w:r>
      <w:r w:rsidR="00A94C44" w:rsidRPr="00730C76">
        <w:rPr>
          <w:rFonts w:eastAsia="Times New Roman" w:cstheme="minorHAnsi"/>
          <w:lang w:eastAsia="hr-HR"/>
        </w:rPr>
        <w:t xml:space="preserve"> i</w:t>
      </w:r>
      <w:r w:rsidR="00C30BFA" w:rsidRPr="00730C76">
        <w:rPr>
          <w:rFonts w:eastAsia="Times New Roman" w:cstheme="minorHAnsi"/>
          <w:lang w:eastAsia="hr-HR"/>
        </w:rPr>
        <w:t xml:space="preserve"> građanski odgoj</w:t>
      </w:r>
      <w:r w:rsidR="00736B30">
        <w:rPr>
          <w:rFonts w:eastAsia="Times New Roman" w:cstheme="minorHAnsi"/>
          <w:lang w:eastAsia="hr-HR"/>
        </w:rPr>
        <w:t>.</w:t>
      </w:r>
    </w:p>
    <w:bookmarkEnd w:id="0"/>
    <w:p w14:paraId="3B9A0C27" w14:textId="77777777" w:rsidR="009263F1" w:rsidRDefault="009263F1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689F35E8" w14:textId="5A6DFE99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RASHODI</w:t>
      </w:r>
    </w:p>
    <w:p w14:paraId="3EE3ED0F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490A21E1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RASHODI POSLOVANJA (3)</w:t>
      </w:r>
    </w:p>
    <w:p w14:paraId="24C28EE1" w14:textId="4BE8FCCA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 poslovanja Osnovne škole Ljudevita Modeca planirani su za 202</w:t>
      </w:r>
      <w:r w:rsidR="00C51B99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 u iznosu</w:t>
      </w:r>
      <w:r w:rsidR="00876FB1">
        <w:rPr>
          <w:rFonts w:eastAsia="Times New Roman" w:cstheme="minorHAnsi"/>
          <w:lang w:eastAsia="hr-HR"/>
        </w:rPr>
        <w:t xml:space="preserve"> 4.</w:t>
      </w:r>
      <w:r w:rsidR="00B641D5">
        <w:rPr>
          <w:rFonts w:eastAsia="Times New Roman" w:cstheme="minorHAnsi"/>
          <w:lang w:eastAsia="hr-HR"/>
        </w:rPr>
        <w:t>7</w:t>
      </w:r>
      <w:r w:rsidR="00080938">
        <w:rPr>
          <w:rFonts w:eastAsia="Times New Roman" w:cstheme="minorHAnsi"/>
          <w:lang w:eastAsia="hr-HR"/>
        </w:rPr>
        <w:t>17.063,</w:t>
      </w:r>
      <w:r w:rsidR="00C51B99">
        <w:rPr>
          <w:rFonts w:eastAsia="Times New Roman" w:cstheme="minorHAnsi"/>
          <w:lang w:eastAsia="hr-HR"/>
        </w:rPr>
        <w:t>00</w:t>
      </w:r>
      <w:r w:rsidR="00E03A8E">
        <w:rPr>
          <w:rFonts w:eastAsia="Times New Roman" w:cstheme="minorHAnsi"/>
          <w:lang w:eastAsia="hr-HR"/>
        </w:rPr>
        <w:t xml:space="preserve"> </w:t>
      </w:r>
      <w:r w:rsidR="00BD6D0D">
        <w:rPr>
          <w:rFonts w:eastAsia="Times New Roman" w:cstheme="minorHAnsi"/>
          <w:lang w:eastAsia="hr-HR"/>
        </w:rPr>
        <w:t>eur</w:t>
      </w:r>
      <w:r w:rsidR="00C30BFA">
        <w:rPr>
          <w:rFonts w:eastAsia="Times New Roman" w:cstheme="minorHAnsi"/>
          <w:lang w:eastAsia="hr-HR"/>
        </w:rPr>
        <w:t>a</w:t>
      </w:r>
      <w:r w:rsidR="00E03A8E">
        <w:rPr>
          <w:rFonts w:eastAsia="Times New Roman" w:cstheme="minorHAnsi"/>
          <w:lang w:eastAsia="hr-HR"/>
        </w:rPr>
        <w:t xml:space="preserve"> </w:t>
      </w:r>
      <w:r w:rsidR="000A2C97">
        <w:rPr>
          <w:rFonts w:eastAsia="Times New Roman" w:cstheme="minorHAnsi"/>
          <w:lang w:eastAsia="hr-HR"/>
        </w:rPr>
        <w:t xml:space="preserve">od čega su </w:t>
      </w:r>
      <w:r w:rsidR="00A36A15">
        <w:rPr>
          <w:rFonts w:eastAsia="Times New Roman" w:cstheme="minorHAnsi"/>
          <w:lang w:eastAsia="hr-HR"/>
        </w:rPr>
        <w:t xml:space="preserve">vrijednosno najznačajniji </w:t>
      </w:r>
      <w:r w:rsidR="000A2C97">
        <w:rPr>
          <w:rFonts w:eastAsia="Times New Roman" w:cstheme="minorHAnsi"/>
          <w:lang w:eastAsia="hr-HR"/>
        </w:rPr>
        <w:t>rashodi za zaposlene</w:t>
      </w:r>
      <w:r w:rsidR="000F5E2D">
        <w:rPr>
          <w:rFonts w:eastAsia="Times New Roman" w:cstheme="minorHAnsi"/>
          <w:lang w:eastAsia="hr-HR"/>
        </w:rPr>
        <w:t xml:space="preserve"> i</w:t>
      </w:r>
      <w:r w:rsidR="000A2C97">
        <w:rPr>
          <w:rFonts w:eastAsia="Times New Roman" w:cstheme="minorHAnsi"/>
          <w:lang w:eastAsia="hr-HR"/>
        </w:rPr>
        <w:t xml:space="preserve"> materijalni rashodi</w:t>
      </w:r>
      <w:r w:rsidR="000F5E2D">
        <w:rPr>
          <w:rFonts w:eastAsia="Times New Roman" w:cstheme="minorHAnsi"/>
          <w:lang w:eastAsia="hr-HR"/>
        </w:rPr>
        <w:t>.</w:t>
      </w:r>
      <w:r w:rsidR="0098383A">
        <w:rPr>
          <w:rFonts w:eastAsia="Times New Roman" w:cstheme="minorHAnsi"/>
          <w:lang w:eastAsia="hr-HR"/>
        </w:rPr>
        <w:t xml:space="preserve"> </w:t>
      </w:r>
      <w:r w:rsidR="0098383A">
        <w:rPr>
          <w:rFonts w:eastAsia="Times New Roman" w:cstheme="minorHAnsi"/>
          <w:lang w:eastAsia="hr-HR"/>
        </w:rPr>
        <w:lastRenderedPageBreak/>
        <w:t>Projekcija rashoda poslovanja za 202</w:t>
      </w:r>
      <w:r w:rsidR="00C51B99">
        <w:rPr>
          <w:rFonts w:eastAsia="Times New Roman" w:cstheme="minorHAnsi"/>
          <w:lang w:eastAsia="hr-HR"/>
        </w:rPr>
        <w:t>7</w:t>
      </w:r>
      <w:r w:rsidR="0098383A">
        <w:rPr>
          <w:rFonts w:eastAsia="Times New Roman" w:cstheme="minorHAnsi"/>
          <w:lang w:eastAsia="hr-HR"/>
        </w:rPr>
        <w:t>.</w:t>
      </w:r>
      <w:r w:rsidR="00397D0F">
        <w:rPr>
          <w:rFonts w:eastAsia="Times New Roman" w:cstheme="minorHAnsi"/>
          <w:lang w:eastAsia="hr-HR"/>
        </w:rPr>
        <w:t xml:space="preserve"> </w:t>
      </w:r>
      <w:r w:rsidR="0098383A">
        <w:rPr>
          <w:rFonts w:eastAsia="Times New Roman" w:cstheme="minorHAnsi"/>
          <w:lang w:eastAsia="hr-HR"/>
        </w:rPr>
        <w:t>godinu iznosi</w:t>
      </w:r>
      <w:r w:rsidR="00397D0F">
        <w:rPr>
          <w:rFonts w:eastAsia="Times New Roman" w:cstheme="minorHAnsi"/>
          <w:lang w:eastAsia="hr-HR"/>
        </w:rPr>
        <w:t xml:space="preserve"> </w:t>
      </w:r>
      <w:r w:rsidR="00C51B99">
        <w:rPr>
          <w:rFonts w:eastAsia="Times New Roman" w:cstheme="minorHAnsi"/>
          <w:lang w:eastAsia="hr-HR"/>
        </w:rPr>
        <w:t>4.</w:t>
      </w:r>
      <w:r w:rsidR="00337137">
        <w:rPr>
          <w:rFonts w:eastAsia="Times New Roman" w:cstheme="minorHAnsi"/>
          <w:lang w:eastAsia="hr-HR"/>
        </w:rPr>
        <w:t>7</w:t>
      </w:r>
      <w:r w:rsidR="001C76EE">
        <w:rPr>
          <w:rFonts w:eastAsia="Times New Roman" w:cstheme="minorHAnsi"/>
          <w:lang w:eastAsia="hr-HR"/>
        </w:rPr>
        <w:t>17.063</w:t>
      </w:r>
      <w:r w:rsidR="00337137">
        <w:rPr>
          <w:rFonts w:eastAsia="Times New Roman" w:cstheme="minorHAnsi"/>
          <w:lang w:eastAsia="hr-HR"/>
        </w:rPr>
        <w:t>,0</w:t>
      </w:r>
      <w:r w:rsidR="00C51B99">
        <w:rPr>
          <w:rFonts w:eastAsia="Times New Roman" w:cstheme="minorHAnsi"/>
          <w:lang w:eastAsia="hr-HR"/>
        </w:rPr>
        <w:t>0</w:t>
      </w:r>
      <w:r w:rsidR="00397D0F">
        <w:rPr>
          <w:rFonts w:eastAsia="Times New Roman" w:cstheme="minorHAnsi"/>
          <w:lang w:eastAsia="hr-HR"/>
        </w:rPr>
        <w:t xml:space="preserve"> </w:t>
      </w:r>
      <w:r w:rsidR="0098383A">
        <w:rPr>
          <w:rFonts w:eastAsia="Times New Roman" w:cstheme="minorHAnsi"/>
          <w:lang w:eastAsia="hr-HR"/>
        </w:rPr>
        <w:t xml:space="preserve">eura </w:t>
      </w:r>
      <w:r w:rsidR="003D0DC9">
        <w:rPr>
          <w:rFonts w:eastAsia="Times New Roman" w:cstheme="minorHAnsi"/>
          <w:lang w:eastAsia="hr-HR"/>
        </w:rPr>
        <w:t>dok</w:t>
      </w:r>
      <w:r w:rsidR="0098383A">
        <w:rPr>
          <w:rFonts w:eastAsia="Times New Roman" w:cstheme="minorHAnsi"/>
          <w:lang w:eastAsia="hr-HR"/>
        </w:rPr>
        <w:t xml:space="preserve"> projekcija za 202</w:t>
      </w:r>
      <w:r w:rsidR="00C51B99">
        <w:rPr>
          <w:rFonts w:eastAsia="Times New Roman" w:cstheme="minorHAnsi"/>
          <w:lang w:eastAsia="hr-HR"/>
        </w:rPr>
        <w:t>8</w:t>
      </w:r>
      <w:r w:rsidR="0098383A">
        <w:rPr>
          <w:rFonts w:eastAsia="Times New Roman" w:cstheme="minorHAnsi"/>
          <w:lang w:eastAsia="hr-HR"/>
        </w:rPr>
        <w:t>. godinu iznosi</w:t>
      </w:r>
      <w:r w:rsidR="00397D0F">
        <w:rPr>
          <w:rFonts w:eastAsia="Times New Roman" w:cstheme="minorHAnsi"/>
          <w:lang w:eastAsia="hr-HR"/>
        </w:rPr>
        <w:t xml:space="preserve"> 4.</w:t>
      </w:r>
      <w:r w:rsidR="008D7747">
        <w:rPr>
          <w:rFonts w:eastAsia="Times New Roman" w:cstheme="minorHAnsi"/>
          <w:lang w:eastAsia="hr-HR"/>
        </w:rPr>
        <w:t>590.591</w:t>
      </w:r>
      <w:r w:rsidR="00337137">
        <w:rPr>
          <w:rFonts w:eastAsia="Times New Roman" w:cstheme="minorHAnsi"/>
          <w:lang w:eastAsia="hr-HR"/>
        </w:rPr>
        <w:t>,00</w:t>
      </w:r>
      <w:r w:rsidR="0098383A">
        <w:rPr>
          <w:rFonts w:eastAsia="Times New Roman" w:cstheme="minorHAnsi"/>
          <w:lang w:eastAsia="hr-HR"/>
        </w:rPr>
        <w:t xml:space="preserve"> eura. </w:t>
      </w:r>
    </w:p>
    <w:p w14:paraId="7CDD6364" w14:textId="77777777" w:rsidR="009B01A9" w:rsidRDefault="009B01A9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72BF738" w14:textId="77777777" w:rsidR="00D06CD6" w:rsidRDefault="00D06CD6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0E8AE54E" w14:textId="19DA16B9" w:rsidR="00710230" w:rsidRPr="00EE35B3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E35B3">
        <w:rPr>
          <w:rFonts w:eastAsia="Times New Roman" w:cstheme="minorHAnsi"/>
          <w:b/>
          <w:bCs/>
          <w:u w:val="single"/>
          <w:lang w:eastAsia="hr-HR"/>
        </w:rPr>
        <w:t>Rashodi za zaposlene (31)</w:t>
      </w:r>
    </w:p>
    <w:p w14:paraId="4CC4DE23" w14:textId="21A7CC48" w:rsidR="00B477B8" w:rsidRDefault="00710230" w:rsidP="00B477B8">
      <w:pPr>
        <w:rPr>
          <w:sz w:val="24"/>
          <w:szCs w:val="24"/>
        </w:rPr>
      </w:pPr>
      <w:r>
        <w:rPr>
          <w:rFonts w:eastAsia="Times New Roman" w:cstheme="minorHAnsi"/>
          <w:lang w:eastAsia="hr-HR"/>
        </w:rPr>
        <w:t>Rashodi za zaposlene planirani su</w:t>
      </w:r>
      <w:r w:rsidR="00AC783B">
        <w:rPr>
          <w:rFonts w:eastAsia="Times New Roman" w:cstheme="minorHAnsi"/>
          <w:lang w:eastAsia="hr-HR"/>
        </w:rPr>
        <w:t xml:space="preserve"> za 202</w:t>
      </w:r>
      <w:r w:rsidR="0077490A">
        <w:rPr>
          <w:rFonts w:eastAsia="Times New Roman" w:cstheme="minorHAnsi"/>
          <w:lang w:eastAsia="hr-HR"/>
        </w:rPr>
        <w:t>6</w:t>
      </w:r>
      <w:r w:rsidR="00AC783B">
        <w:rPr>
          <w:rFonts w:eastAsia="Times New Roman" w:cstheme="minorHAnsi"/>
          <w:lang w:eastAsia="hr-HR"/>
        </w:rPr>
        <w:t>. godinu</w:t>
      </w:r>
      <w:r>
        <w:rPr>
          <w:rFonts w:eastAsia="Times New Roman" w:cstheme="minorHAnsi"/>
          <w:lang w:eastAsia="hr-HR"/>
        </w:rPr>
        <w:t xml:space="preserve"> u</w:t>
      </w:r>
      <w:r w:rsidR="008212DE">
        <w:rPr>
          <w:rFonts w:eastAsia="Times New Roman" w:cstheme="minorHAnsi"/>
          <w:lang w:eastAsia="hr-HR"/>
        </w:rPr>
        <w:t xml:space="preserve"> ukupnom</w:t>
      </w:r>
      <w:r>
        <w:rPr>
          <w:rFonts w:eastAsia="Times New Roman" w:cstheme="minorHAnsi"/>
          <w:lang w:eastAsia="hr-HR"/>
        </w:rPr>
        <w:t xml:space="preserve"> iznosu</w:t>
      </w:r>
      <w:r w:rsidR="0077490A">
        <w:rPr>
          <w:rFonts w:eastAsia="Times New Roman" w:cstheme="minorHAnsi"/>
          <w:lang w:eastAsia="hr-HR"/>
        </w:rPr>
        <w:t xml:space="preserve"> 3.370.756,00</w:t>
      </w:r>
      <w:r w:rsidR="00DD2C5A">
        <w:rPr>
          <w:rFonts w:eastAsia="Times New Roman" w:cstheme="minorHAnsi"/>
          <w:lang w:eastAsia="hr-HR"/>
        </w:rPr>
        <w:t xml:space="preserve">  </w:t>
      </w:r>
      <w:r>
        <w:rPr>
          <w:rFonts w:eastAsia="Times New Roman" w:cstheme="minorHAnsi"/>
          <w:lang w:eastAsia="hr-HR"/>
        </w:rPr>
        <w:t>eura</w:t>
      </w:r>
      <w:r w:rsidR="00C30BFA">
        <w:rPr>
          <w:rFonts w:eastAsia="Times New Roman" w:cstheme="minorHAnsi"/>
          <w:lang w:eastAsia="hr-HR"/>
        </w:rPr>
        <w:t xml:space="preserve">, a obuhvaćaju rashode za plaće (bruto), doprinose na plaće (doprinos za zdravstveno osiguranje) i ostale materijalne naknade za zaposlene uključujući </w:t>
      </w:r>
      <w:r w:rsidR="00BD732E">
        <w:rPr>
          <w:rFonts w:eastAsia="Times New Roman" w:cstheme="minorHAnsi"/>
          <w:lang w:eastAsia="hr-HR"/>
        </w:rPr>
        <w:t>i</w:t>
      </w:r>
      <w:r w:rsidR="00C30BFA">
        <w:rPr>
          <w:rFonts w:eastAsia="Times New Roman" w:cstheme="minorHAnsi"/>
          <w:lang w:eastAsia="hr-HR"/>
        </w:rPr>
        <w:t xml:space="preserve"> rashode za</w:t>
      </w:r>
      <w:r>
        <w:rPr>
          <w:rFonts w:eastAsia="Times New Roman" w:cstheme="minorHAnsi"/>
          <w:lang w:eastAsia="hr-HR"/>
        </w:rPr>
        <w:t xml:space="preserve"> </w:t>
      </w:r>
      <w:r w:rsidR="00EF6F94">
        <w:rPr>
          <w:rFonts w:eastAsia="Times New Roman" w:cstheme="minorHAnsi"/>
          <w:lang w:eastAsia="hr-HR"/>
        </w:rPr>
        <w:t xml:space="preserve">plaće </w:t>
      </w:r>
      <w:r>
        <w:rPr>
          <w:rFonts w:eastAsia="Times New Roman" w:cstheme="minorHAnsi"/>
          <w:lang w:eastAsia="hr-HR"/>
        </w:rPr>
        <w:t>učitelj</w:t>
      </w:r>
      <w:r w:rsidR="00C30BFA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u produženom boravku, pomoćnike u nastavi i zaposlenika za izvođenje</w:t>
      </w:r>
      <w:r w:rsidR="00C30BFA">
        <w:rPr>
          <w:rFonts w:eastAsia="Times New Roman" w:cstheme="minorHAnsi"/>
          <w:lang w:eastAsia="hr-HR"/>
        </w:rPr>
        <w:t xml:space="preserve"> programa</w:t>
      </w:r>
      <w:r>
        <w:rPr>
          <w:rFonts w:eastAsia="Times New Roman" w:cstheme="minorHAnsi"/>
          <w:lang w:eastAsia="hr-HR"/>
        </w:rPr>
        <w:t xml:space="preserve"> izvan</w:t>
      </w:r>
      <w:r w:rsidR="00C30BFA">
        <w:rPr>
          <w:rFonts w:eastAsia="Times New Roman" w:cstheme="minorHAnsi"/>
          <w:lang w:eastAsia="hr-HR"/>
        </w:rPr>
        <w:t>školske</w:t>
      </w:r>
      <w:r>
        <w:rPr>
          <w:rFonts w:eastAsia="Times New Roman" w:cstheme="minorHAnsi"/>
          <w:lang w:eastAsia="hr-HR"/>
        </w:rPr>
        <w:t xml:space="preserve"> aktivnosti Građanski odgoj i obrazovanje</w:t>
      </w:r>
      <w:r w:rsidR="00DD2C5A">
        <w:rPr>
          <w:rFonts w:eastAsia="Times New Roman" w:cstheme="minorHAnsi"/>
          <w:lang w:eastAsia="hr-HR"/>
        </w:rPr>
        <w:t>.</w:t>
      </w:r>
    </w:p>
    <w:p w14:paraId="1D34B5CB" w14:textId="77777777" w:rsidR="00287D6C" w:rsidRDefault="00287D6C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45E23551" w14:textId="32AFCC13" w:rsidR="00710230" w:rsidRPr="00EE35B3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E35B3">
        <w:rPr>
          <w:rFonts w:eastAsia="Times New Roman" w:cstheme="minorHAnsi"/>
          <w:b/>
          <w:bCs/>
          <w:u w:val="single"/>
          <w:lang w:eastAsia="hr-HR"/>
        </w:rPr>
        <w:t>Materijalni rashodi (32)</w:t>
      </w:r>
    </w:p>
    <w:p w14:paraId="1552B2E9" w14:textId="7E4904A0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Materijalni rashodi</w:t>
      </w:r>
      <w:r w:rsidR="00A33A8C">
        <w:rPr>
          <w:rFonts w:eastAsia="Times New Roman" w:cstheme="minorHAnsi"/>
          <w:lang w:eastAsia="hr-HR"/>
        </w:rPr>
        <w:t xml:space="preserve"> obuhvaćaju</w:t>
      </w:r>
      <w:r w:rsidR="00A33A8C" w:rsidRPr="00A33A8C">
        <w:rPr>
          <w:rFonts w:eastAsia="Times New Roman" w:cstheme="minorHAnsi"/>
          <w:lang w:eastAsia="hr-HR"/>
        </w:rPr>
        <w:t xml:space="preserve"> </w:t>
      </w:r>
      <w:r w:rsidR="00A33A8C">
        <w:rPr>
          <w:rFonts w:eastAsia="Times New Roman" w:cstheme="minorHAnsi"/>
          <w:lang w:eastAsia="hr-HR"/>
        </w:rPr>
        <w:t>naknade troškova zaposlenima za službena putovanja, rashode za materijal i energiju, rashode za usluge te ostale nespomenute rashode poslovanja</w:t>
      </w:r>
      <w:r w:rsidR="006C122A">
        <w:rPr>
          <w:rFonts w:eastAsia="Times New Roman" w:cstheme="minorHAnsi"/>
          <w:lang w:eastAsia="hr-HR"/>
        </w:rPr>
        <w:t>, a planirani su za 202</w:t>
      </w:r>
      <w:r w:rsidR="00137124">
        <w:rPr>
          <w:rFonts w:eastAsia="Times New Roman" w:cstheme="minorHAnsi"/>
          <w:lang w:eastAsia="hr-HR"/>
        </w:rPr>
        <w:t>6</w:t>
      </w:r>
      <w:r w:rsidR="006C122A">
        <w:rPr>
          <w:rFonts w:eastAsia="Times New Roman" w:cstheme="minorHAnsi"/>
          <w:lang w:eastAsia="hr-HR"/>
        </w:rPr>
        <w:t>. godinu</w:t>
      </w:r>
      <w:r w:rsidR="00A33A8C">
        <w:rPr>
          <w:rFonts w:eastAsia="Times New Roman" w:cstheme="minorHAnsi"/>
          <w:lang w:eastAsia="hr-HR"/>
        </w:rPr>
        <w:t xml:space="preserve"> u ukupnom iznosu</w:t>
      </w:r>
      <w:r w:rsidR="009720F8">
        <w:rPr>
          <w:rFonts w:eastAsia="Times New Roman" w:cstheme="minorHAnsi"/>
          <w:lang w:eastAsia="hr-HR"/>
        </w:rPr>
        <w:t xml:space="preserve"> 1.125.805,00</w:t>
      </w:r>
      <w:r>
        <w:rPr>
          <w:rFonts w:eastAsia="Times New Roman" w:cstheme="minorHAnsi"/>
          <w:lang w:eastAsia="hr-HR"/>
        </w:rPr>
        <w:t xml:space="preserve"> eur</w:t>
      </w:r>
      <w:r w:rsidR="00A33A8C">
        <w:rPr>
          <w:rFonts w:eastAsia="Times New Roman" w:cstheme="minorHAnsi"/>
          <w:lang w:eastAsia="hr-HR"/>
        </w:rPr>
        <w:t xml:space="preserve">a. </w:t>
      </w:r>
    </w:p>
    <w:p w14:paraId="1BC42778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F2AEC6D" w14:textId="77777777" w:rsidR="00710230" w:rsidRPr="00EE35B3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E35B3">
        <w:rPr>
          <w:rFonts w:eastAsia="Times New Roman" w:cstheme="minorHAnsi"/>
          <w:b/>
          <w:bCs/>
          <w:u w:val="single"/>
          <w:lang w:eastAsia="hr-HR"/>
        </w:rPr>
        <w:t>Financijski rashodi (34)</w:t>
      </w:r>
    </w:p>
    <w:p w14:paraId="12FD2DA0" w14:textId="13E4E05E" w:rsidR="00526E9F" w:rsidRDefault="00710230" w:rsidP="00526E9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Financijski rashodi</w:t>
      </w:r>
      <w:r w:rsidR="00526E9F" w:rsidRPr="00526E9F">
        <w:rPr>
          <w:rFonts w:eastAsia="Times New Roman" w:cstheme="minorHAnsi"/>
          <w:lang w:eastAsia="hr-HR"/>
        </w:rPr>
        <w:t xml:space="preserve"> </w:t>
      </w:r>
      <w:r w:rsidR="00526E9F">
        <w:rPr>
          <w:rFonts w:eastAsia="Times New Roman" w:cstheme="minorHAnsi"/>
          <w:lang w:eastAsia="hr-HR"/>
        </w:rPr>
        <w:t>obuhvaćaju zatezne kamate iz poslovnih odnosa</w:t>
      </w:r>
      <w:r w:rsidR="00584B21">
        <w:rPr>
          <w:rFonts w:eastAsia="Times New Roman" w:cstheme="minorHAnsi"/>
          <w:lang w:eastAsia="hr-HR"/>
        </w:rPr>
        <w:t xml:space="preserve"> i ostale kamate</w:t>
      </w:r>
      <w:r w:rsidR="00526E9F">
        <w:rPr>
          <w:rFonts w:eastAsia="Times New Roman" w:cstheme="minorHAnsi"/>
          <w:lang w:eastAsia="hr-HR"/>
        </w:rPr>
        <w:t>, a</w:t>
      </w:r>
      <w:r w:rsidR="00435C13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planirani su u iznosu </w:t>
      </w:r>
      <w:r w:rsidR="00896467">
        <w:rPr>
          <w:rFonts w:eastAsia="Times New Roman" w:cstheme="minorHAnsi"/>
          <w:lang w:eastAsia="hr-HR"/>
        </w:rPr>
        <w:t>100</w:t>
      </w:r>
      <w:r w:rsidR="00F16766">
        <w:rPr>
          <w:rFonts w:eastAsia="Times New Roman" w:cstheme="minorHAnsi"/>
          <w:lang w:eastAsia="hr-HR"/>
        </w:rPr>
        <w:t>,00</w:t>
      </w:r>
      <w:r>
        <w:rPr>
          <w:rFonts w:eastAsia="Times New Roman" w:cstheme="minorHAnsi"/>
          <w:lang w:eastAsia="hr-HR"/>
        </w:rPr>
        <w:t xml:space="preserve"> eura</w:t>
      </w:r>
      <w:r w:rsidR="00526E9F">
        <w:rPr>
          <w:rFonts w:eastAsia="Times New Roman" w:cstheme="minorHAnsi"/>
          <w:lang w:eastAsia="hr-HR"/>
        </w:rPr>
        <w:t>.</w:t>
      </w:r>
    </w:p>
    <w:p w14:paraId="2B523327" w14:textId="77777777" w:rsidR="00435C13" w:rsidRDefault="00435C13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E317868" w14:textId="77777777" w:rsidR="00435C13" w:rsidRPr="00EE35B3" w:rsidRDefault="00435C13" w:rsidP="00435C1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E35B3">
        <w:rPr>
          <w:rFonts w:eastAsia="Times New Roman" w:cstheme="minorHAnsi"/>
          <w:b/>
          <w:bCs/>
          <w:u w:val="single"/>
          <w:lang w:eastAsia="hr-HR"/>
        </w:rPr>
        <w:t>Naknade građanima i kućanstvima na temelju osiguranja i druge naknade (37)</w:t>
      </w:r>
    </w:p>
    <w:p w14:paraId="5AE4FEDA" w14:textId="4FD9B480" w:rsidR="00435C13" w:rsidRDefault="00435C13" w:rsidP="00435C1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Naknade građanima i kućanstvima na temelju osiguranja i druge naknade obuhvaćaju nabavu i dokup radnih udžbenika obveznih i izbornih predmeta</w:t>
      </w:r>
      <w:r w:rsidR="00BA3868">
        <w:rPr>
          <w:rFonts w:eastAsia="Times New Roman" w:cstheme="minorHAnsi"/>
          <w:lang w:eastAsia="hr-HR"/>
        </w:rPr>
        <w:t xml:space="preserve"> te radnih bilježnica i drugih obrazovnih materijala</w:t>
      </w:r>
      <w:r w:rsidR="00A36F46">
        <w:rPr>
          <w:rFonts w:eastAsia="Times New Roman" w:cstheme="minorHAnsi"/>
          <w:lang w:eastAsia="hr-HR"/>
        </w:rPr>
        <w:t xml:space="preserve"> planiranih</w:t>
      </w:r>
      <w:r w:rsidR="00FC1788">
        <w:rPr>
          <w:rFonts w:eastAsia="Times New Roman" w:cstheme="minorHAnsi"/>
          <w:lang w:eastAsia="hr-HR"/>
        </w:rPr>
        <w:t xml:space="preserve"> za 202</w:t>
      </w:r>
      <w:r w:rsidR="006C38C0">
        <w:rPr>
          <w:rFonts w:eastAsia="Times New Roman" w:cstheme="minorHAnsi"/>
          <w:lang w:eastAsia="hr-HR"/>
        </w:rPr>
        <w:t>6</w:t>
      </w:r>
      <w:r w:rsidR="00FC1788">
        <w:rPr>
          <w:rFonts w:eastAsia="Times New Roman" w:cstheme="minorHAnsi"/>
          <w:lang w:eastAsia="hr-HR"/>
        </w:rPr>
        <w:t>. godinu</w:t>
      </w:r>
      <w:r w:rsidR="00A36F46">
        <w:rPr>
          <w:rFonts w:eastAsia="Times New Roman" w:cstheme="minorHAnsi"/>
          <w:lang w:eastAsia="hr-HR"/>
        </w:rPr>
        <w:t xml:space="preserve"> u iznosu </w:t>
      </w:r>
      <w:r w:rsidR="00BA3868">
        <w:rPr>
          <w:rFonts w:eastAsia="Times New Roman" w:cstheme="minorHAnsi"/>
          <w:lang w:eastAsia="hr-HR"/>
        </w:rPr>
        <w:t>119</w:t>
      </w:r>
      <w:r w:rsidR="00A36F46">
        <w:rPr>
          <w:rFonts w:eastAsia="Times New Roman" w:cstheme="minorHAnsi"/>
          <w:lang w:eastAsia="hr-HR"/>
        </w:rPr>
        <w:t>.000,00 eura.</w:t>
      </w:r>
      <w:r w:rsidR="004E384E">
        <w:rPr>
          <w:rFonts w:eastAsia="Times New Roman" w:cstheme="minorHAnsi"/>
          <w:lang w:eastAsia="hr-HR"/>
        </w:rPr>
        <w:t xml:space="preserve"> </w:t>
      </w:r>
    </w:p>
    <w:p w14:paraId="384A6638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9404FA2" w14:textId="77777777" w:rsidR="00710230" w:rsidRPr="00EE35B3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E35B3">
        <w:rPr>
          <w:rFonts w:eastAsia="Times New Roman" w:cstheme="minorHAnsi"/>
          <w:b/>
          <w:bCs/>
          <w:u w:val="single"/>
          <w:lang w:eastAsia="hr-HR"/>
        </w:rPr>
        <w:t>Ostali rashodi (38)</w:t>
      </w:r>
    </w:p>
    <w:p w14:paraId="434AA6E6" w14:textId="5247DFFD" w:rsidR="00CE0CB1" w:rsidRDefault="00710230" w:rsidP="00CE0CB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Ostali rashodi odnose se na tekuće donacije u naravi</w:t>
      </w:r>
      <w:r w:rsidR="00CE0CB1">
        <w:rPr>
          <w:rFonts w:eastAsia="Times New Roman" w:cstheme="minorHAnsi"/>
          <w:lang w:eastAsia="hr-HR"/>
        </w:rPr>
        <w:t xml:space="preserve"> za </w:t>
      </w:r>
      <w:r>
        <w:rPr>
          <w:rFonts w:eastAsia="Times New Roman" w:cstheme="minorHAnsi"/>
          <w:lang w:eastAsia="hr-HR"/>
        </w:rPr>
        <w:t>opskrb</w:t>
      </w:r>
      <w:r w:rsidR="00CE0CB1">
        <w:rPr>
          <w:rFonts w:eastAsia="Times New Roman" w:cstheme="minorHAnsi"/>
          <w:lang w:eastAsia="hr-HR"/>
        </w:rPr>
        <w:t>u</w:t>
      </w:r>
      <w:r>
        <w:rPr>
          <w:rFonts w:eastAsia="Times New Roman" w:cstheme="minorHAnsi"/>
          <w:lang w:eastAsia="hr-HR"/>
        </w:rPr>
        <w:t xml:space="preserve"> besplatnim higijenskim potrepštin</w:t>
      </w:r>
      <w:r w:rsidR="004F75D9">
        <w:rPr>
          <w:rFonts w:eastAsia="Times New Roman" w:cstheme="minorHAnsi"/>
          <w:lang w:eastAsia="hr-HR"/>
        </w:rPr>
        <w:t>ama</w:t>
      </w:r>
      <w:r w:rsidR="00D069AD">
        <w:rPr>
          <w:rFonts w:eastAsia="Times New Roman" w:cstheme="minorHAnsi"/>
          <w:lang w:eastAsia="hr-HR"/>
        </w:rPr>
        <w:t xml:space="preserve"> i planirani su za 202</w:t>
      </w:r>
      <w:r w:rsidR="00095767">
        <w:rPr>
          <w:rFonts w:eastAsia="Times New Roman" w:cstheme="minorHAnsi"/>
          <w:lang w:eastAsia="hr-HR"/>
        </w:rPr>
        <w:t>6</w:t>
      </w:r>
      <w:r w:rsidR="00D069AD">
        <w:rPr>
          <w:rFonts w:eastAsia="Times New Roman" w:cstheme="minorHAnsi"/>
          <w:lang w:eastAsia="hr-HR"/>
        </w:rPr>
        <w:t>.</w:t>
      </w:r>
      <w:r w:rsidR="00EF1787">
        <w:rPr>
          <w:rFonts w:eastAsia="Times New Roman" w:cstheme="minorHAnsi"/>
          <w:lang w:eastAsia="hr-HR"/>
        </w:rPr>
        <w:t xml:space="preserve"> godinu</w:t>
      </w:r>
      <w:r w:rsidR="00D069AD">
        <w:rPr>
          <w:rFonts w:eastAsia="Times New Roman" w:cstheme="minorHAnsi"/>
          <w:lang w:eastAsia="hr-HR"/>
        </w:rPr>
        <w:t xml:space="preserve"> u iznosu 1.700,00 eura.</w:t>
      </w:r>
    </w:p>
    <w:p w14:paraId="344717BF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</w:p>
    <w:p w14:paraId="2666D9D9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</w:p>
    <w:p w14:paraId="52C01D0B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RASHODI ZA NABAVU NEFINANCIJSKE IMOVINE (4)</w:t>
      </w:r>
    </w:p>
    <w:p w14:paraId="2F270637" w14:textId="5072AEF5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 za nabavu nefinancijske imovine obuhvaćaju rashode za nabavu proizvedene dugotrajne imovine i rashode za dodatna ulaganja na nefinancijskoj imovini, a za 202</w:t>
      </w:r>
      <w:r w:rsidR="009A3BFC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 planirani su u iznosu</w:t>
      </w:r>
      <w:r w:rsidR="00E577FC">
        <w:rPr>
          <w:rFonts w:eastAsia="Times New Roman" w:cstheme="minorHAnsi"/>
          <w:lang w:eastAsia="hr-HR"/>
        </w:rPr>
        <w:t xml:space="preserve"> </w:t>
      </w:r>
      <w:r w:rsidR="00EC7B59">
        <w:rPr>
          <w:rFonts w:eastAsia="Times New Roman" w:cstheme="minorHAnsi"/>
          <w:lang w:eastAsia="hr-HR"/>
        </w:rPr>
        <w:t>99.702</w:t>
      </w:r>
      <w:r w:rsidR="00E577FC">
        <w:rPr>
          <w:rFonts w:eastAsia="Times New Roman" w:cstheme="minorHAnsi"/>
          <w:lang w:eastAsia="hr-HR"/>
        </w:rPr>
        <w:t xml:space="preserve">,00 </w:t>
      </w:r>
      <w:r>
        <w:rPr>
          <w:rFonts w:eastAsia="Times New Roman" w:cstheme="minorHAnsi"/>
          <w:lang w:eastAsia="hr-HR"/>
        </w:rPr>
        <w:t xml:space="preserve">eura. </w:t>
      </w:r>
    </w:p>
    <w:p w14:paraId="30BA5EA8" w14:textId="77777777" w:rsidR="00FD3FE3" w:rsidRDefault="00FD3FE3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DCAA0AF" w14:textId="77777777" w:rsidR="00710230" w:rsidRPr="00FD3FE3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D3FE3">
        <w:rPr>
          <w:rFonts w:eastAsia="Times New Roman" w:cstheme="minorHAnsi"/>
          <w:b/>
          <w:bCs/>
          <w:u w:val="single"/>
          <w:lang w:eastAsia="hr-HR"/>
        </w:rPr>
        <w:t>Rashodi za nabavu proizvedene dugotrajne imovine (42)</w:t>
      </w:r>
    </w:p>
    <w:p w14:paraId="01832D7F" w14:textId="7D7AF56A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 za nabavu proizvedene dugotrajne imovine obuhvaćaju rashode za nabavu postrojenja i opreme (računala i računalna oprema, namještaj,</w:t>
      </w:r>
      <w:r w:rsidR="00E67EEE">
        <w:rPr>
          <w:rFonts w:eastAsia="Times New Roman" w:cstheme="minorHAnsi"/>
          <w:lang w:eastAsia="hr-HR"/>
        </w:rPr>
        <w:t xml:space="preserve"> uređaji,</w:t>
      </w:r>
      <w:r w:rsidR="00E839CE">
        <w:rPr>
          <w:rFonts w:eastAsia="Times New Roman" w:cstheme="minorHAnsi"/>
          <w:lang w:eastAsia="hr-HR"/>
        </w:rPr>
        <w:t xml:space="preserve"> oprem</w:t>
      </w:r>
      <w:r w:rsidR="00C8063D">
        <w:rPr>
          <w:rFonts w:eastAsia="Times New Roman" w:cstheme="minorHAnsi"/>
          <w:lang w:eastAsia="hr-HR"/>
        </w:rPr>
        <w:t>a</w:t>
      </w:r>
      <w:r w:rsidR="00E839CE">
        <w:rPr>
          <w:rFonts w:eastAsia="Times New Roman" w:cstheme="minorHAnsi"/>
          <w:lang w:eastAsia="hr-HR"/>
        </w:rPr>
        <w:t xml:space="preserve"> za grijanje, ventilaciju i hlađenje,</w:t>
      </w:r>
      <w:r w:rsidR="00D52FCA">
        <w:rPr>
          <w:rFonts w:eastAsia="Times New Roman" w:cstheme="minorHAnsi"/>
          <w:lang w:eastAsia="hr-HR"/>
        </w:rPr>
        <w:t xml:space="preserve"> ostal</w:t>
      </w:r>
      <w:r w:rsidR="00AD0AB3">
        <w:rPr>
          <w:rFonts w:eastAsia="Times New Roman" w:cstheme="minorHAnsi"/>
          <w:lang w:eastAsia="hr-HR"/>
        </w:rPr>
        <w:t>a</w:t>
      </w:r>
      <w:r w:rsidR="00D52FCA">
        <w:rPr>
          <w:rFonts w:eastAsia="Times New Roman" w:cstheme="minorHAnsi"/>
          <w:lang w:eastAsia="hr-HR"/>
        </w:rPr>
        <w:t xml:space="preserve"> oprem</w:t>
      </w:r>
      <w:r w:rsidR="00C8063D">
        <w:rPr>
          <w:rFonts w:eastAsia="Times New Roman" w:cstheme="minorHAnsi"/>
          <w:lang w:eastAsia="hr-HR"/>
        </w:rPr>
        <w:t>a</w:t>
      </w:r>
      <w:r w:rsidR="00D52FCA">
        <w:rPr>
          <w:rFonts w:eastAsia="Times New Roman" w:cstheme="minorHAnsi"/>
          <w:lang w:eastAsia="hr-HR"/>
        </w:rPr>
        <w:t xml:space="preserve"> za održavanje i zaštitu,</w:t>
      </w:r>
      <w:r>
        <w:rPr>
          <w:rFonts w:eastAsia="Times New Roman" w:cstheme="minorHAnsi"/>
          <w:lang w:eastAsia="hr-HR"/>
        </w:rPr>
        <w:t xml:space="preserve"> sportsk</w:t>
      </w:r>
      <w:r w:rsidR="00AD0AB3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oprema</w:t>
      </w:r>
      <w:r w:rsidR="00E839CE">
        <w:rPr>
          <w:rFonts w:eastAsia="Times New Roman" w:cstheme="minorHAnsi"/>
          <w:lang w:eastAsia="hr-HR"/>
        </w:rPr>
        <w:t>)</w:t>
      </w:r>
      <w:r>
        <w:rPr>
          <w:rFonts w:eastAsia="Times New Roman" w:cstheme="minorHAnsi"/>
          <w:lang w:eastAsia="hr-HR"/>
        </w:rPr>
        <w:t xml:space="preserve"> </w:t>
      </w:r>
      <w:r w:rsidR="00C8063D">
        <w:rPr>
          <w:rFonts w:eastAsia="Times New Roman" w:cstheme="minorHAnsi"/>
          <w:lang w:eastAsia="hr-HR"/>
        </w:rPr>
        <w:t>te</w:t>
      </w:r>
      <w:r>
        <w:rPr>
          <w:rFonts w:eastAsia="Times New Roman" w:cstheme="minorHAnsi"/>
          <w:lang w:eastAsia="hr-HR"/>
        </w:rPr>
        <w:t xml:space="preserve"> knjiga za školsku knjižnicu </w:t>
      </w:r>
      <w:r w:rsidR="00C8063D">
        <w:rPr>
          <w:rFonts w:eastAsia="Times New Roman" w:cstheme="minorHAnsi"/>
          <w:lang w:eastAsia="hr-HR"/>
        </w:rPr>
        <w:t xml:space="preserve">i udžbenika trajnog karaktera </w:t>
      </w:r>
      <w:r>
        <w:rPr>
          <w:rFonts w:eastAsia="Times New Roman" w:cstheme="minorHAnsi"/>
          <w:lang w:eastAsia="hr-HR"/>
        </w:rPr>
        <w:t>u planiranom iznosu</w:t>
      </w:r>
      <w:r w:rsidR="00E67EEE">
        <w:rPr>
          <w:rFonts w:eastAsia="Times New Roman" w:cstheme="minorHAnsi"/>
          <w:lang w:eastAsia="hr-HR"/>
        </w:rPr>
        <w:t xml:space="preserve"> 63.732,00</w:t>
      </w:r>
      <w:r w:rsidR="00E839CE">
        <w:rPr>
          <w:rFonts w:eastAsia="Times New Roman" w:cstheme="minorHAnsi"/>
          <w:lang w:eastAsia="hr-HR"/>
        </w:rPr>
        <w:t xml:space="preserve"> </w:t>
      </w:r>
      <w:r w:rsidR="000B6F8C">
        <w:rPr>
          <w:rFonts w:eastAsia="Times New Roman" w:cstheme="minorHAnsi"/>
          <w:lang w:eastAsia="hr-HR"/>
        </w:rPr>
        <w:t>eura</w:t>
      </w:r>
      <w:r>
        <w:rPr>
          <w:rFonts w:eastAsia="Times New Roman" w:cstheme="minorHAnsi"/>
          <w:lang w:eastAsia="hr-HR"/>
        </w:rPr>
        <w:t xml:space="preserve"> </w:t>
      </w:r>
      <w:r w:rsidR="000B6F8C">
        <w:rPr>
          <w:rFonts w:eastAsia="Times New Roman" w:cstheme="minorHAnsi"/>
          <w:lang w:eastAsia="hr-HR"/>
        </w:rPr>
        <w:t>za 202</w:t>
      </w:r>
      <w:r w:rsidR="00420FC5">
        <w:rPr>
          <w:rFonts w:eastAsia="Times New Roman" w:cstheme="minorHAnsi"/>
          <w:lang w:eastAsia="hr-HR"/>
        </w:rPr>
        <w:t>6</w:t>
      </w:r>
      <w:r w:rsidR="000B6F8C">
        <w:rPr>
          <w:rFonts w:eastAsia="Times New Roman" w:cstheme="minorHAnsi"/>
          <w:lang w:eastAsia="hr-HR"/>
        </w:rPr>
        <w:t>. godinu</w:t>
      </w:r>
      <w:r w:rsidR="0098383A">
        <w:rPr>
          <w:rFonts w:eastAsia="Times New Roman" w:cstheme="minorHAnsi"/>
          <w:lang w:eastAsia="hr-HR"/>
        </w:rPr>
        <w:t>.</w:t>
      </w:r>
    </w:p>
    <w:p w14:paraId="20752566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287FBD" w14:textId="77777777" w:rsidR="00710230" w:rsidRPr="000A27DD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A27DD">
        <w:rPr>
          <w:rFonts w:eastAsia="Times New Roman" w:cstheme="minorHAnsi"/>
          <w:b/>
          <w:bCs/>
          <w:u w:val="single"/>
          <w:lang w:eastAsia="hr-HR"/>
        </w:rPr>
        <w:t>Rashodi za dodatna ulaganja na nefinancijskoj imovini (45)</w:t>
      </w:r>
    </w:p>
    <w:p w14:paraId="0570966B" w14:textId="1DCAC878" w:rsidR="006502BF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A27DD">
        <w:rPr>
          <w:rFonts w:eastAsia="Times New Roman" w:cstheme="minorHAnsi"/>
          <w:lang w:eastAsia="hr-HR"/>
        </w:rPr>
        <w:t>Rashodi za dodatna ulaganja na nefinancijskoj imovin</w:t>
      </w:r>
      <w:r w:rsidR="00580116" w:rsidRPr="000A27DD">
        <w:rPr>
          <w:rFonts w:eastAsia="Times New Roman" w:cstheme="minorHAnsi"/>
          <w:lang w:eastAsia="hr-HR"/>
        </w:rPr>
        <w:t>i</w:t>
      </w:r>
      <w:r w:rsidRPr="000A27DD">
        <w:rPr>
          <w:rFonts w:eastAsia="Times New Roman" w:cstheme="minorHAnsi"/>
          <w:lang w:eastAsia="hr-HR"/>
        </w:rPr>
        <w:t xml:space="preserve"> planirani su</w:t>
      </w:r>
      <w:r w:rsidR="00D2134B">
        <w:rPr>
          <w:rFonts w:eastAsia="Times New Roman" w:cstheme="minorHAnsi"/>
          <w:lang w:eastAsia="hr-HR"/>
        </w:rPr>
        <w:t xml:space="preserve"> za 202</w:t>
      </w:r>
      <w:r w:rsidR="00763F67">
        <w:rPr>
          <w:rFonts w:eastAsia="Times New Roman" w:cstheme="minorHAnsi"/>
          <w:lang w:eastAsia="hr-HR"/>
        </w:rPr>
        <w:t>6</w:t>
      </w:r>
      <w:r w:rsidR="00D2134B">
        <w:rPr>
          <w:rFonts w:eastAsia="Times New Roman" w:cstheme="minorHAnsi"/>
          <w:lang w:eastAsia="hr-HR"/>
        </w:rPr>
        <w:t>. godinu</w:t>
      </w:r>
      <w:r w:rsidRPr="000A27DD">
        <w:rPr>
          <w:rFonts w:eastAsia="Times New Roman" w:cstheme="minorHAnsi"/>
          <w:lang w:eastAsia="hr-HR"/>
        </w:rPr>
        <w:t xml:space="preserve"> u ukupnom iznosu</w:t>
      </w:r>
      <w:r w:rsidR="0077773D">
        <w:rPr>
          <w:rFonts w:eastAsia="Times New Roman" w:cstheme="minorHAnsi"/>
          <w:lang w:eastAsia="hr-HR"/>
        </w:rPr>
        <w:t xml:space="preserve"> </w:t>
      </w:r>
      <w:r w:rsidR="00EC7B59">
        <w:rPr>
          <w:rFonts w:eastAsia="Times New Roman" w:cstheme="minorHAnsi"/>
          <w:lang w:eastAsia="hr-HR"/>
        </w:rPr>
        <w:t xml:space="preserve">35.970,00 </w:t>
      </w:r>
      <w:r w:rsidR="006502BF">
        <w:rPr>
          <w:rFonts w:eastAsia="Times New Roman" w:cstheme="minorHAnsi"/>
          <w:lang w:eastAsia="hr-HR"/>
        </w:rPr>
        <w:t>e</w:t>
      </w:r>
      <w:r w:rsidRPr="000A27DD">
        <w:rPr>
          <w:rFonts w:eastAsia="Times New Roman" w:cstheme="minorHAnsi"/>
          <w:lang w:eastAsia="hr-HR"/>
        </w:rPr>
        <w:t>ura</w:t>
      </w:r>
      <w:r w:rsidR="00EB19A6">
        <w:rPr>
          <w:rFonts w:eastAsia="Times New Roman" w:cstheme="minorHAnsi"/>
          <w:lang w:eastAsia="hr-HR"/>
        </w:rPr>
        <w:t xml:space="preserve"> </w:t>
      </w:r>
      <w:r w:rsidR="0098383A">
        <w:rPr>
          <w:rFonts w:eastAsia="Times New Roman" w:cstheme="minorHAnsi"/>
          <w:lang w:eastAsia="hr-HR"/>
        </w:rPr>
        <w:t>i obuhvaćaju</w:t>
      </w:r>
      <w:r w:rsidR="00EB19A6">
        <w:rPr>
          <w:rFonts w:eastAsia="Times New Roman" w:cstheme="minorHAnsi"/>
          <w:lang w:eastAsia="hr-HR"/>
        </w:rPr>
        <w:t xml:space="preserve"> dodatna ulaganja na građevinskim objektim</w:t>
      </w:r>
      <w:r w:rsidR="006502BF">
        <w:rPr>
          <w:rFonts w:eastAsia="Times New Roman" w:cstheme="minorHAnsi"/>
          <w:lang w:eastAsia="hr-HR"/>
        </w:rPr>
        <w:t>a</w:t>
      </w:r>
      <w:r w:rsidR="00DB609D">
        <w:rPr>
          <w:rFonts w:eastAsia="Times New Roman" w:cstheme="minorHAnsi"/>
          <w:lang w:eastAsia="hr-HR"/>
        </w:rPr>
        <w:t xml:space="preserve"> (</w:t>
      </w:r>
      <w:r w:rsidR="001A0EF4">
        <w:rPr>
          <w:rFonts w:eastAsia="Times New Roman" w:cstheme="minorHAnsi"/>
          <w:lang w:eastAsia="hr-HR"/>
        </w:rPr>
        <w:t>uređenje</w:t>
      </w:r>
      <w:r w:rsidR="0025349B">
        <w:rPr>
          <w:rFonts w:eastAsia="Times New Roman" w:cstheme="minorHAnsi"/>
          <w:lang w:eastAsia="hr-HR"/>
        </w:rPr>
        <w:t xml:space="preserve"> </w:t>
      </w:r>
      <w:r w:rsidR="001A0EF4">
        <w:rPr>
          <w:rFonts w:eastAsia="Times New Roman" w:cstheme="minorHAnsi"/>
          <w:lang w:eastAsia="hr-HR"/>
        </w:rPr>
        <w:t>i</w:t>
      </w:r>
      <w:r w:rsidR="0025349B">
        <w:rPr>
          <w:rFonts w:eastAsia="Times New Roman" w:cstheme="minorHAnsi"/>
          <w:lang w:eastAsia="hr-HR"/>
        </w:rPr>
        <w:t xml:space="preserve"> </w:t>
      </w:r>
      <w:r w:rsidR="0077773D">
        <w:rPr>
          <w:rFonts w:eastAsia="Times New Roman" w:cstheme="minorHAnsi"/>
          <w:lang w:eastAsia="hr-HR"/>
        </w:rPr>
        <w:t>sanacija svlačionica u sportskoj dvorani</w:t>
      </w:r>
      <w:r w:rsidR="00CE7A21">
        <w:rPr>
          <w:rFonts w:eastAsia="Times New Roman" w:cstheme="minorHAnsi"/>
          <w:lang w:eastAsia="hr-HR"/>
        </w:rPr>
        <w:t xml:space="preserve"> </w:t>
      </w:r>
      <w:r w:rsidR="00514BB0">
        <w:rPr>
          <w:rFonts w:eastAsia="Times New Roman" w:cstheme="minorHAnsi"/>
          <w:lang w:eastAsia="hr-HR"/>
        </w:rPr>
        <w:t>i zidova u područnoj školi Veliki Raven)</w:t>
      </w:r>
      <w:r w:rsidR="00CE7A21">
        <w:rPr>
          <w:rFonts w:eastAsia="Times New Roman" w:cstheme="minorHAnsi"/>
          <w:lang w:eastAsia="hr-HR"/>
        </w:rPr>
        <w:t>.</w:t>
      </w:r>
    </w:p>
    <w:p w14:paraId="5CD5D395" w14:textId="77777777" w:rsidR="00763F67" w:rsidRDefault="00763F67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414BAEAE" w14:textId="37F3221D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PRIMICI I IZDACI</w:t>
      </w:r>
    </w:p>
    <w:p w14:paraId="36D2096B" w14:textId="1ADCB6D1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planu za 202</w:t>
      </w:r>
      <w:r w:rsidR="00763F67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</w:t>
      </w:r>
      <w:r w:rsidR="00FE0484">
        <w:rPr>
          <w:rFonts w:eastAsia="Times New Roman" w:cstheme="minorHAnsi"/>
          <w:lang w:eastAsia="hr-HR"/>
        </w:rPr>
        <w:t xml:space="preserve"> i projekcijama za 202</w:t>
      </w:r>
      <w:r w:rsidR="00763F67">
        <w:rPr>
          <w:rFonts w:eastAsia="Times New Roman" w:cstheme="minorHAnsi"/>
          <w:lang w:eastAsia="hr-HR"/>
        </w:rPr>
        <w:t>7</w:t>
      </w:r>
      <w:r w:rsidR="00FE0484">
        <w:rPr>
          <w:rFonts w:eastAsia="Times New Roman" w:cstheme="minorHAnsi"/>
          <w:lang w:eastAsia="hr-HR"/>
        </w:rPr>
        <w:t>. i 202</w:t>
      </w:r>
      <w:r w:rsidR="00763F67">
        <w:rPr>
          <w:rFonts w:eastAsia="Times New Roman" w:cstheme="minorHAnsi"/>
          <w:lang w:eastAsia="hr-HR"/>
        </w:rPr>
        <w:t>8</w:t>
      </w:r>
      <w:r w:rsidR="00FE0484">
        <w:rPr>
          <w:rFonts w:eastAsia="Times New Roman" w:cstheme="minorHAnsi"/>
          <w:lang w:eastAsia="hr-HR"/>
        </w:rPr>
        <w:t>. godinu</w:t>
      </w:r>
      <w:r>
        <w:rPr>
          <w:rFonts w:eastAsia="Times New Roman" w:cstheme="minorHAnsi"/>
          <w:lang w:eastAsia="hr-HR"/>
        </w:rPr>
        <w:t xml:space="preserve"> nisu planirani primici i izdaci</w:t>
      </w:r>
      <w:r w:rsidR="00FE0484">
        <w:rPr>
          <w:rFonts w:eastAsia="Times New Roman" w:cstheme="minorHAnsi"/>
          <w:lang w:eastAsia="hr-HR"/>
        </w:rPr>
        <w:t>.</w:t>
      </w:r>
    </w:p>
    <w:p w14:paraId="34903B88" w14:textId="77777777" w:rsidR="00E75DAB" w:rsidRDefault="00E75DAB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79FD9F74" w14:textId="77777777" w:rsidR="00E67A8F" w:rsidRDefault="00E67A8F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025A830E" w14:textId="77777777" w:rsidR="008F5B0F" w:rsidRDefault="008F5B0F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32C029E2" w14:textId="5437F90E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lastRenderedPageBreak/>
        <w:t>Obrazloženje prenesenog viška ili manjka iz 202</w:t>
      </w:r>
      <w:r w:rsidR="004667E8">
        <w:rPr>
          <w:rFonts w:eastAsia="Times New Roman" w:cstheme="minorHAnsi"/>
          <w:b/>
          <w:bCs/>
          <w:u w:val="single"/>
          <w:lang w:eastAsia="hr-HR"/>
        </w:rPr>
        <w:t>5</w:t>
      </w:r>
      <w:r>
        <w:rPr>
          <w:rFonts w:eastAsia="Times New Roman" w:cstheme="minorHAnsi"/>
          <w:b/>
          <w:bCs/>
          <w:u w:val="single"/>
          <w:lang w:eastAsia="hr-HR"/>
        </w:rPr>
        <w:t>. godine</w:t>
      </w:r>
    </w:p>
    <w:p w14:paraId="11139F0B" w14:textId="12688A3E" w:rsidR="00710230" w:rsidRDefault="00FE0484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Financijski plan</w:t>
      </w:r>
      <w:r w:rsidR="00710230">
        <w:rPr>
          <w:rFonts w:eastAsia="Times New Roman" w:cstheme="minorHAnsi"/>
          <w:lang w:eastAsia="hr-HR"/>
        </w:rPr>
        <w:t xml:space="preserve"> za 20</w:t>
      </w:r>
      <w:r w:rsidR="007E4EC0">
        <w:rPr>
          <w:rFonts w:eastAsia="Times New Roman" w:cstheme="minorHAnsi"/>
          <w:lang w:eastAsia="hr-HR"/>
        </w:rPr>
        <w:t>2</w:t>
      </w:r>
      <w:r w:rsidR="004667E8">
        <w:rPr>
          <w:rFonts w:eastAsia="Times New Roman" w:cstheme="minorHAnsi"/>
          <w:lang w:eastAsia="hr-HR"/>
        </w:rPr>
        <w:t>6</w:t>
      </w:r>
      <w:r w:rsidR="00710230">
        <w:rPr>
          <w:rFonts w:eastAsia="Times New Roman" w:cstheme="minorHAnsi"/>
          <w:lang w:eastAsia="hr-HR"/>
        </w:rPr>
        <w:t>. godinu</w:t>
      </w:r>
      <w:r>
        <w:rPr>
          <w:rFonts w:eastAsia="Times New Roman" w:cstheme="minorHAnsi"/>
          <w:lang w:eastAsia="hr-HR"/>
        </w:rPr>
        <w:t xml:space="preserve"> </w:t>
      </w:r>
      <w:r w:rsidR="00EE6E78">
        <w:rPr>
          <w:rFonts w:eastAsia="Times New Roman" w:cstheme="minorHAnsi"/>
          <w:lang w:eastAsia="hr-HR"/>
        </w:rPr>
        <w:t>je</w:t>
      </w:r>
      <w:r w:rsidR="00710230">
        <w:rPr>
          <w:rFonts w:eastAsia="Times New Roman" w:cstheme="minorHAnsi"/>
          <w:lang w:eastAsia="hr-HR"/>
        </w:rPr>
        <w:t xml:space="preserve"> uravnotež</w:t>
      </w:r>
      <w:r w:rsidR="00AD51A0">
        <w:rPr>
          <w:rFonts w:eastAsia="Times New Roman" w:cstheme="minorHAnsi"/>
          <w:lang w:eastAsia="hr-HR"/>
        </w:rPr>
        <w:t>e</w:t>
      </w:r>
      <w:r w:rsidR="00EE6E78">
        <w:rPr>
          <w:rFonts w:eastAsia="Times New Roman" w:cstheme="minorHAnsi"/>
          <w:lang w:eastAsia="hr-HR"/>
        </w:rPr>
        <w:t>n</w:t>
      </w:r>
      <w:r w:rsidR="007E4EC0">
        <w:rPr>
          <w:rFonts w:eastAsia="Times New Roman" w:cstheme="minorHAnsi"/>
          <w:lang w:eastAsia="hr-HR"/>
        </w:rPr>
        <w:t xml:space="preserve"> i </w:t>
      </w:r>
      <w:r>
        <w:rPr>
          <w:rFonts w:eastAsia="Times New Roman" w:cstheme="minorHAnsi"/>
          <w:lang w:eastAsia="hr-HR"/>
        </w:rPr>
        <w:t xml:space="preserve">nema </w:t>
      </w:r>
      <w:r w:rsidR="00AD51A0">
        <w:rPr>
          <w:rFonts w:eastAsia="Times New Roman" w:cstheme="minorHAnsi"/>
          <w:lang w:eastAsia="hr-HR"/>
        </w:rPr>
        <w:t>pr</w:t>
      </w:r>
      <w:r w:rsidR="00710230">
        <w:rPr>
          <w:rFonts w:eastAsia="Times New Roman" w:cstheme="minorHAnsi"/>
          <w:lang w:eastAsia="hr-HR"/>
        </w:rPr>
        <w:t>enesen</w:t>
      </w:r>
      <w:r>
        <w:rPr>
          <w:rFonts w:eastAsia="Times New Roman" w:cstheme="minorHAnsi"/>
          <w:lang w:eastAsia="hr-HR"/>
        </w:rPr>
        <w:t>og</w:t>
      </w:r>
      <w:r w:rsidR="00EE6E78">
        <w:rPr>
          <w:rFonts w:eastAsia="Times New Roman" w:cstheme="minorHAnsi"/>
          <w:lang w:eastAsia="hr-HR"/>
        </w:rPr>
        <w:t xml:space="preserve"> </w:t>
      </w:r>
      <w:r w:rsidR="00710230">
        <w:rPr>
          <w:rFonts w:eastAsia="Times New Roman" w:cstheme="minorHAnsi"/>
          <w:lang w:eastAsia="hr-HR"/>
        </w:rPr>
        <w:t>viš</w:t>
      </w:r>
      <w:r>
        <w:rPr>
          <w:rFonts w:eastAsia="Times New Roman" w:cstheme="minorHAnsi"/>
          <w:lang w:eastAsia="hr-HR"/>
        </w:rPr>
        <w:t xml:space="preserve">ka </w:t>
      </w:r>
      <w:r w:rsidR="003A10E7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 xml:space="preserve"> manjka </w:t>
      </w:r>
      <w:r w:rsidR="00710230">
        <w:rPr>
          <w:rFonts w:eastAsia="Times New Roman" w:cstheme="minorHAnsi"/>
          <w:lang w:eastAsia="hr-HR"/>
        </w:rPr>
        <w:t>iz 202</w:t>
      </w:r>
      <w:r w:rsidR="004667E8">
        <w:rPr>
          <w:rFonts w:eastAsia="Times New Roman" w:cstheme="minorHAnsi"/>
          <w:lang w:eastAsia="hr-HR"/>
        </w:rPr>
        <w:t>5</w:t>
      </w:r>
      <w:r w:rsidR="00710230">
        <w:rPr>
          <w:rFonts w:eastAsia="Times New Roman" w:cstheme="minorHAnsi"/>
          <w:lang w:eastAsia="hr-HR"/>
        </w:rPr>
        <w:t>. godine</w:t>
      </w:r>
      <w:r>
        <w:rPr>
          <w:rFonts w:eastAsia="Times New Roman" w:cstheme="minorHAnsi"/>
          <w:lang w:eastAsia="hr-HR"/>
        </w:rPr>
        <w:t>.</w:t>
      </w:r>
    </w:p>
    <w:p w14:paraId="38C9179A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0CFD3A" w14:textId="4D91FE88" w:rsidR="00710230" w:rsidRPr="0069015C" w:rsidRDefault="00710230" w:rsidP="00710230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B)</w:t>
      </w:r>
      <w:r w:rsidRPr="0069015C">
        <w:rPr>
          <w:rFonts w:ascii="Calibri" w:eastAsia="Calibri" w:hAnsi="Calibri" w:cs="Times New Roman"/>
          <w:b/>
          <w:bCs/>
          <w:sz w:val="28"/>
          <w:szCs w:val="28"/>
        </w:rPr>
        <w:t xml:space="preserve"> OBRAZLOŽENJE POSEBNOG DIJELA</w:t>
      </w:r>
      <w:r w:rsidR="00B01F95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B83307">
        <w:rPr>
          <w:rFonts w:ascii="Calibri" w:eastAsia="Calibri" w:hAnsi="Calibri" w:cs="Times New Roman"/>
          <w:b/>
          <w:bCs/>
          <w:sz w:val="28"/>
          <w:szCs w:val="28"/>
        </w:rPr>
        <w:t>FINANCIJSKOG PLANA</w:t>
      </w:r>
    </w:p>
    <w:p w14:paraId="1F5B6E24" w14:textId="77777777" w:rsidR="00710230" w:rsidRPr="0069015C" w:rsidRDefault="00710230" w:rsidP="0071023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tbl>
      <w:tblPr>
        <w:tblW w:w="838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2268"/>
        <w:gridCol w:w="3402"/>
      </w:tblGrid>
      <w:tr w:rsidR="0017550B" w:rsidRPr="0069015C" w14:paraId="66CD29BC" w14:textId="77777777" w:rsidTr="00591682">
        <w:trPr>
          <w:trHeight w:val="120"/>
        </w:trPr>
        <w:tc>
          <w:tcPr>
            <w:tcW w:w="2715" w:type="dxa"/>
          </w:tcPr>
          <w:p w14:paraId="29C13703" w14:textId="77777777" w:rsidR="001D69E8" w:rsidRDefault="0017550B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Planirani </w:t>
            </w:r>
            <w:r w:rsidRPr="0069015C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rashodi u okviru programa </w:t>
            </w:r>
            <w:r w:rsidRPr="0069015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3</w:t>
            </w:r>
            <w:r w:rsidR="001D69E8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2</w:t>
            </w:r>
            <w:r w:rsidRPr="0069015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01</w:t>
            </w:r>
          </w:p>
          <w:p w14:paraId="4D477E07" w14:textId="7CF72990" w:rsidR="0017550B" w:rsidRPr="0069015C" w:rsidRDefault="0017550B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 w:rsidRPr="0069015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snovnoškolsko obrazovanje u OŠ Ljudevita Modeca Križevci</w:t>
            </w:r>
            <w:r w:rsidRPr="0069015C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raspoređeni su po aktivnostima kako slijede:</w:t>
            </w:r>
          </w:p>
        </w:tc>
        <w:tc>
          <w:tcPr>
            <w:tcW w:w="2268" w:type="dxa"/>
          </w:tcPr>
          <w:p w14:paraId="4ABAA437" w14:textId="77777777" w:rsidR="0017550B" w:rsidRPr="0069015C" w:rsidRDefault="0017550B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9015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NAZIV</w:t>
            </w:r>
          </w:p>
        </w:tc>
        <w:tc>
          <w:tcPr>
            <w:tcW w:w="3402" w:type="dxa"/>
          </w:tcPr>
          <w:p w14:paraId="753AAB5E" w14:textId="77777777" w:rsidR="0017550B" w:rsidRPr="00822586" w:rsidRDefault="0017550B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822586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Iznos EUR</w:t>
            </w:r>
          </w:p>
        </w:tc>
      </w:tr>
      <w:tr w:rsidR="00591682" w14:paraId="5B680618" w14:textId="77777777" w:rsidTr="00591682">
        <w:trPr>
          <w:trHeight w:val="120"/>
        </w:trPr>
        <w:tc>
          <w:tcPr>
            <w:tcW w:w="2715" w:type="dxa"/>
          </w:tcPr>
          <w:p w14:paraId="67C70369" w14:textId="239C6438" w:rsidR="00591682" w:rsidRPr="00501C5D" w:rsidRDefault="00501C5D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501C5D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Aktivnost</w:t>
            </w:r>
          </w:p>
        </w:tc>
        <w:tc>
          <w:tcPr>
            <w:tcW w:w="2268" w:type="dxa"/>
          </w:tcPr>
          <w:p w14:paraId="58DAC57C" w14:textId="77777777" w:rsidR="00591682" w:rsidRDefault="00591682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14:paraId="03C5EED5" w14:textId="218D4365" w:rsidR="00591682" w:rsidRPr="00822586" w:rsidRDefault="00591682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822586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Plan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 202</w:t>
            </w:r>
            <w:r w:rsidR="00F902C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.</w:t>
            </w:r>
          </w:p>
        </w:tc>
      </w:tr>
      <w:tr w:rsidR="00591682" w14:paraId="3B048D18" w14:textId="77777777" w:rsidTr="00591682">
        <w:trPr>
          <w:trHeight w:val="120"/>
        </w:trPr>
        <w:tc>
          <w:tcPr>
            <w:tcW w:w="2715" w:type="dxa"/>
          </w:tcPr>
          <w:p w14:paraId="40BEA0B5" w14:textId="3C23E938" w:rsidR="00591682" w:rsidRPr="0069015C" w:rsidRDefault="00591682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A3</w:t>
            </w:r>
            <w:r w:rsidR="001D69E8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0101</w:t>
            </w:r>
          </w:p>
        </w:tc>
        <w:tc>
          <w:tcPr>
            <w:tcW w:w="2268" w:type="dxa"/>
          </w:tcPr>
          <w:p w14:paraId="6C281F5C" w14:textId="77777777" w:rsidR="00591682" w:rsidRPr="0069015C" w:rsidRDefault="00591682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RASHODI ZAKONSKOG STANDARDA</w:t>
            </w:r>
          </w:p>
        </w:tc>
        <w:tc>
          <w:tcPr>
            <w:tcW w:w="3402" w:type="dxa"/>
          </w:tcPr>
          <w:p w14:paraId="7D337B0D" w14:textId="075759EF" w:rsidR="00591682" w:rsidRDefault="001D69E8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346.519,00</w:t>
            </w:r>
          </w:p>
        </w:tc>
      </w:tr>
      <w:tr w:rsidR="00591682" w:rsidRPr="0069015C" w14:paraId="4ED6005B" w14:textId="77777777" w:rsidTr="00591682">
        <w:trPr>
          <w:trHeight w:val="120"/>
        </w:trPr>
        <w:tc>
          <w:tcPr>
            <w:tcW w:w="2715" w:type="dxa"/>
          </w:tcPr>
          <w:p w14:paraId="38A5B6CC" w14:textId="01744A97" w:rsidR="00591682" w:rsidRPr="0069015C" w:rsidRDefault="00591682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A3</w:t>
            </w:r>
            <w:r w:rsidR="00D42ED0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0102</w:t>
            </w:r>
          </w:p>
        </w:tc>
        <w:tc>
          <w:tcPr>
            <w:tcW w:w="2268" w:type="dxa"/>
          </w:tcPr>
          <w:p w14:paraId="48628B39" w14:textId="77777777" w:rsidR="00591682" w:rsidRPr="0069015C" w:rsidRDefault="00591682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RASHODI IZNAD ZAKONSKOG STANDARDA</w:t>
            </w:r>
          </w:p>
        </w:tc>
        <w:tc>
          <w:tcPr>
            <w:tcW w:w="3402" w:type="dxa"/>
          </w:tcPr>
          <w:p w14:paraId="0B3A18CC" w14:textId="5D64E330" w:rsidR="00591682" w:rsidRPr="0069015C" w:rsidRDefault="007F5614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4.</w:t>
            </w:r>
            <w:r w:rsidR="009C4CF1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138.142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,00</w:t>
            </w:r>
          </w:p>
        </w:tc>
      </w:tr>
      <w:tr w:rsidR="00342F0A" w:rsidRPr="0069015C" w14:paraId="090A316C" w14:textId="77777777" w:rsidTr="00591682">
        <w:trPr>
          <w:trHeight w:val="120"/>
        </w:trPr>
        <w:tc>
          <w:tcPr>
            <w:tcW w:w="2715" w:type="dxa"/>
          </w:tcPr>
          <w:p w14:paraId="63F24464" w14:textId="6C656A87" w:rsidR="00342F0A" w:rsidRDefault="00342F0A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A320103</w:t>
            </w:r>
          </w:p>
        </w:tc>
        <w:tc>
          <w:tcPr>
            <w:tcW w:w="2268" w:type="dxa"/>
          </w:tcPr>
          <w:p w14:paraId="6036AB35" w14:textId="59908AE4" w:rsidR="00342F0A" w:rsidRDefault="00342F0A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ŠKOLSKA SHEMA</w:t>
            </w:r>
          </w:p>
        </w:tc>
        <w:tc>
          <w:tcPr>
            <w:tcW w:w="3402" w:type="dxa"/>
          </w:tcPr>
          <w:p w14:paraId="2C530C43" w14:textId="0E6DFE87" w:rsidR="00342F0A" w:rsidRDefault="00342F0A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7.700,00</w:t>
            </w:r>
          </w:p>
        </w:tc>
      </w:tr>
      <w:tr w:rsidR="00342F0A" w:rsidRPr="0069015C" w14:paraId="50F5C0E8" w14:textId="77777777" w:rsidTr="00591682">
        <w:trPr>
          <w:trHeight w:val="120"/>
        </w:trPr>
        <w:tc>
          <w:tcPr>
            <w:tcW w:w="2715" w:type="dxa"/>
          </w:tcPr>
          <w:p w14:paraId="3A3231E7" w14:textId="1F419FB4" w:rsidR="00342F0A" w:rsidRDefault="00342F0A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A320217</w:t>
            </w:r>
          </w:p>
        </w:tc>
        <w:tc>
          <w:tcPr>
            <w:tcW w:w="2268" w:type="dxa"/>
          </w:tcPr>
          <w:p w14:paraId="32B1389F" w14:textId="5F0C8715" w:rsidR="00342F0A" w:rsidRDefault="00342F0A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POMOZIMO JEDNI DRUGIMA VII</w:t>
            </w:r>
          </w:p>
        </w:tc>
        <w:tc>
          <w:tcPr>
            <w:tcW w:w="3402" w:type="dxa"/>
          </w:tcPr>
          <w:p w14:paraId="53D5ED19" w14:textId="73DA56C9" w:rsidR="00342F0A" w:rsidRDefault="00342F0A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224.702,00</w:t>
            </w:r>
          </w:p>
        </w:tc>
      </w:tr>
      <w:tr w:rsidR="009E5521" w:rsidRPr="0069015C" w14:paraId="69E00138" w14:textId="77777777" w:rsidTr="00591682">
        <w:trPr>
          <w:trHeight w:val="120"/>
        </w:trPr>
        <w:tc>
          <w:tcPr>
            <w:tcW w:w="2715" w:type="dxa"/>
          </w:tcPr>
          <w:p w14:paraId="6B54469B" w14:textId="73309598" w:rsidR="009E5521" w:rsidRDefault="009E5521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69015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Ukupno</w:t>
            </w:r>
          </w:p>
        </w:tc>
        <w:tc>
          <w:tcPr>
            <w:tcW w:w="2268" w:type="dxa"/>
          </w:tcPr>
          <w:p w14:paraId="1B259542" w14:textId="29E7EBDF" w:rsidR="009E5521" w:rsidRDefault="009E5521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14:paraId="5E792DD4" w14:textId="4F09CC19" w:rsidR="009E5521" w:rsidRDefault="009E5521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4.7</w:t>
            </w:r>
            <w:r w:rsidR="00E4507B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17.063,00</w:t>
            </w:r>
          </w:p>
        </w:tc>
      </w:tr>
      <w:tr w:rsidR="009E5521" w:rsidRPr="0069015C" w14:paraId="3EFCFFEC" w14:textId="77777777" w:rsidTr="00591682">
        <w:trPr>
          <w:trHeight w:val="120"/>
        </w:trPr>
        <w:tc>
          <w:tcPr>
            <w:tcW w:w="2715" w:type="dxa"/>
          </w:tcPr>
          <w:p w14:paraId="79877130" w14:textId="4E99C7FB" w:rsidR="009E5521" w:rsidRPr="0069015C" w:rsidRDefault="009E5521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5C0E2C6E" w14:textId="20168EF6" w:rsidR="009E5521" w:rsidRPr="0069015C" w:rsidRDefault="009E5521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14:paraId="73207387" w14:textId="503CFBEE" w:rsidR="009E5521" w:rsidRPr="002E0AC4" w:rsidRDefault="009E5521" w:rsidP="0072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</w:tc>
      </w:tr>
    </w:tbl>
    <w:p w14:paraId="05E0E13F" w14:textId="77777777" w:rsidR="00710230" w:rsidRPr="0069015C" w:rsidRDefault="00710230" w:rsidP="00710230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47498922" w14:textId="5B66877D" w:rsidR="00710230" w:rsidRPr="00A0355B" w:rsidRDefault="001362DD" w:rsidP="001F43E0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A0355B">
        <w:rPr>
          <w:rFonts w:eastAsia="Calibri" w:cstheme="minorHAnsi"/>
          <w:color w:val="000000"/>
        </w:rPr>
        <w:t>Aktivnost rashodi zakonskog standarda za 202</w:t>
      </w:r>
      <w:r w:rsidR="00F902CC" w:rsidRPr="00A0355B">
        <w:rPr>
          <w:rFonts w:eastAsia="Calibri" w:cstheme="minorHAnsi"/>
          <w:color w:val="000000"/>
        </w:rPr>
        <w:t>6</w:t>
      </w:r>
      <w:r w:rsidRPr="00A0355B">
        <w:rPr>
          <w:rFonts w:eastAsia="Calibri" w:cstheme="minorHAnsi"/>
          <w:color w:val="000000"/>
        </w:rPr>
        <w:t>. godinu planirani su u ukupnom iznosu</w:t>
      </w:r>
      <w:r w:rsidR="002E0AC4" w:rsidRPr="00A0355B">
        <w:rPr>
          <w:rFonts w:eastAsia="Calibri" w:cstheme="minorHAnsi"/>
          <w:color w:val="000000"/>
        </w:rPr>
        <w:t xml:space="preserve"> </w:t>
      </w:r>
      <w:r w:rsidR="007F5614" w:rsidRPr="00A0355B">
        <w:rPr>
          <w:rFonts w:eastAsia="Calibri" w:cstheme="minorHAnsi"/>
          <w:color w:val="000000"/>
        </w:rPr>
        <w:t>346.519,000</w:t>
      </w:r>
      <w:r w:rsidRPr="00A0355B">
        <w:rPr>
          <w:rFonts w:eastAsia="Calibri" w:cstheme="minorHAnsi"/>
          <w:color w:val="000000"/>
        </w:rPr>
        <w:t xml:space="preserve">  eura, a </w:t>
      </w:r>
      <w:r w:rsidR="006B265B" w:rsidRPr="00A0355B">
        <w:rPr>
          <w:rFonts w:eastAsia="Calibri" w:cstheme="minorHAnsi"/>
          <w:color w:val="000000"/>
        </w:rPr>
        <w:t>obuhvaća rashode za decentralizirane funkcije osnovnog škol</w:t>
      </w:r>
      <w:r w:rsidR="0040673F" w:rsidRPr="00A0355B">
        <w:rPr>
          <w:rFonts w:eastAsia="Calibri" w:cstheme="minorHAnsi"/>
          <w:color w:val="000000"/>
        </w:rPr>
        <w:t>s</w:t>
      </w:r>
      <w:r w:rsidR="006B265B" w:rsidRPr="00A0355B">
        <w:rPr>
          <w:rFonts w:eastAsia="Calibri" w:cstheme="minorHAnsi"/>
          <w:color w:val="000000"/>
        </w:rPr>
        <w:t>tva koji su posebnim zakonom preneseni na jedinice lokalne i područne (regionalne) samouprave, a financiraju se iz dodatnog udjela u porez na dohodak</w:t>
      </w:r>
      <w:r w:rsidR="00692649" w:rsidRPr="00A0355B">
        <w:rPr>
          <w:rFonts w:eastAsia="Calibri" w:cstheme="minorHAnsi"/>
          <w:color w:val="000000"/>
        </w:rPr>
        <w:t xml:space="preserve"> u planiranom iznosu </w:t>
      </w:r>
      <w:r w:rsidR="00F902CC" w:rsidRPr="00A0355B">
        <w:rPr>
          <w:rFonts w:eastAsia="Calibri" w:cstheme="minorHAnsi"/>
          <w:color w:val="000000"/>
        </w:rPr>
        <w:t>3</w:t>
      </w:r>
      <w:r w:rsidR="003D45C7" w:rsidRPr="00A0355B">
        <w:rPr>
          <w:rFonts w:eastAsia="Calibri" w:cstheme="minorHAnsi"/>
          <w:color w:val="000000"/>
        </w:rPr>
        <w:t>20</w:t>
      </w:r>
      <w:r w:rsidR="007F5614" w:rsidRPr="00A0355B">
        <w:rPr>
          <w:rFonts w:eastAsia="Calibri" w:cstheme="minorHAnsi"/>
          <w:color w:val="000000"/>
        </w:rPr>
        <w:t>.</w:t>
      </w:r>
      <w:r w:rsidR="003D45C7" w:rsidRPr="00A0355B">
        <w:rPr>
          <w:rFonts w:eastAsia="Calibri" w:cstheme="minorHAnsi"/>
          <w:color w:val="000000"/>
        </w:rPr>
        <w:t>000</w:t>
      </w:r>
      <w:r w:rsidR="007F5614" w:rsidRPr="00A0355B">
        <w:rPr>
          <w:rFonts w:eastAsia="Calibri" w:cstheme="minorHAnsi"/>
          <w:color w:val="000000"/>
        </w:rPr>
        <w:t>,00</w:t>
      </w:r>
      <w:r w:rsidR="00692649" w:rsidRPr="00A0355B">
        <w:rPr>
          <w:rFonts w:eastAsia="Calibri" w:cstheme="minorHAnsi"/>
          <w:color w:val="000000"/>
        </w:rPr>
        <w:t xml:space="preserve"> eura</w:t>
      </w:r>
      <w:r w:rsidR="006B265B" w:rsidRPr="00A0355B">
        <w:rPr>
          <w:rFonts w:eastAsia="Calibri" w:cstheme="minorHAnsi"/>
          <w:color w:val="000000"/>
        </w:rPr>
        <w:t xml:space="preserve"> i pomoći izravnanja za decentralizirane fu</w:t>
      </w:r>
      <w:r w:rsidR="00692649" w:rsidRPr="00A0355B">
        <w:rPr>
          <w:rFonts w:eastAsia="Calibri" w:cstheme="minorHAnsi"/>
          <w:color w:val="000000"/>
        </w:rPr>
        <w:t>n</w:t>
      </w:r>
      <w:r w:rsidR="006B265B" w:rsidRPr="00A0355B">
        <w:rPr>
          <w:rFonts w:eastAsia="Calibri" w:cstheme="minorHAnsi"/>
          <w:color w:val="000000"/>
        </w:rPr>
        <w:t>kcije</w:t>
      </w:r>
      <w:r w:rsidR="00692649" w:rsidRPr="00A0355B">
        <w:rPr>
          <w:rFonts w:eastAsia="Calibri" w:cstheme="minorHAnsi"/>
          <w:color w:val="000000"/>
        </w:rPr>
        <w:t xml:space="preserve"> u iznosu </w:t>
      </w:r>
      <w:r w:rsidR="007F5614" w:rsidRPr="00A0355B">
        <w:rPr>
          <w:rFonts w:eastAsia="Calibri" w:cstheme="minorHAnsi"/>
          <w:color w:val="000000"/>
        </w:rPr>
        <w:t>26.519,00</w:t>
      </w:r>
      <w:r w:rsidR="00692649" w:rsidRPr="00A0355B">
        <w:rPr>
          <w:rFonts w:eastAsia="Calibri" w:cstheme="minorHAnsi"/>
          <w:color w:val="000000"/>
        </w:rPr>
        <w:t xml:space="preserve"> eura</w:t>
      </w:r>
      <w:r w:rsidR="006B265B" w:rsidRPr="00A0355B">
        <w:rPr>
          <w:rFonts w:eastAsia="Calibri" w:cstheme="minorHAnsi"/>
          <w:color w:val="000000"/>
        </w:rPr>
        <w:t>.</w:t>
      </w:r>
      <w:r w:rsidR="001F43E0" w:rsidRPr="00A0355B">
        <w:rPr>
          <w:rFonts w:cstheme="minorHAnsi"/>
        </w:rPr>
        <w:t xml:space="preserve"> </w:t>
      </w:r>
      <w:r w:rsidR="006B265B" w:rsidRPr="00A0355B">
        <w:rPr>
          <w:rFonts w:cstheme="minorHAnsi"/>
        </w:rPr>
        <w:t>Ovdje su planirani materijalni rashodi (službena putovanja, materijal i energija, usluge), ostali rashodi, financijski rashodi te</w:t>
      </w:r>
      <w:r w:rsidR="002E0AC4" w:rsidRPr="00A0355B">
        <w:rPr>
          <w:rFonts w:cstheme="minorHAnsi"/>
        </w:rPr>
        <w:t xml:space="preserve"> </w:t>
      </w:r>
      <w:r w:rsidR="006B265B" w:rsidRPr="00A0355B">
        <w:rPr>
          <w:rFonts w:cstheme="minorHAnsi"/>
        </w:rPr>
        <w:t xml:space="preserve">kapitalna ulaganja. </w:t>
      </w:r>
      <w:r w:rsidR="001F43E0" w:rsidRPr="00A0355B">
        <w:rPr>
          <w:rFonts w:cstheme="minorHAnsi"/>
        </w:rPr>
        <w:t xml:space="preserve">Cilj ove aktivnosti je obavljanje redovne odgojno-obrazovne djelatnosti pružanjem obveznog osnovnoškolskog obrazovanja učenicima i stjecanje temeljnih općeobrazovnih i stručnih kompetencija, a zadani pokazatelji uspješnosti </w:t>
      </w:r>
      <w:r w:rsidR="001F43E0" w:rsidRPr="00A0355B">
        <w:rPr>
          <w:rFonts w:eastAsia="Times New Roman" w:cstheme="minorHAnsi"/>
          <w:lang w:eastAsia="hr-HR"/>
        </w:rPr>
        <w:t>zasnivaju se na  broju učenika  koji su završili osnovnoškolsko obrazovanje i upisali željene srednje škole</w:t>
      </w:r>
      <w:r w:rsidR="00811A5D">
        <w:rPr>
          <w:rFonts w:eastAsia="Times New Roman" w:cstheme="minorHAnsi"/>
          <w:lang w:eastAsia="hr-HR"/>
        </w:rPr>
        <w:t xml:space="preserve"> (90 učenika)</w:t>
      </w:r>
      <w:r w:rsidR="001F43E0" w:rsidRPr="00A0355B">
        <w:rPr>
          <w:rFonts w:eastAsia="Times New Roman" w:cstheme="minorHAnsi"/>
          <w:lang w:eastAsia="hr-HR"/>
        </w:rPr>
        <w:t>, broju učenika polaznika dodatnih programa/ dodatne nastave (</w:t>
      </w:r>
      <w:r w:rsidR="008948EE" w:rsidRPr="00A0355B">
        <w:rPr>
          <w:rFonts w:eastAsia="Times New Roman" w:cstheme="minorHAnsi"/>
          <w:lang w:eastAsia="hr-HR"/>
        </w:rPr>
        <w:t>188</w:t>
      </w:r>
      <w:r w:rsidR="001F43E0" w:rsidRPr="00A0355B">
        <w:rPr>
          <w:rFonts w:eastAsia="Times New Roman" w:cstheme="minorHAnsi"/>
          <w:lang w:eastAsia="hr-HR"/>
        </w:rPr>
        <w:t xml:space="preserve"> učenika), izvannastavnih aktivnosti (</w:t>
      </w:r>
      <w:r w:rsidR="008948EE" w:rsidRPr="00A0355B">
        <w:rPr>
          <w:rFonts w:eastAsia="Times New Roman" w:cstheme="minorHAnsi"/>
          <w:lang w:eastAsia="hr-HR"/>
        </w:rPr>
        <w:t>412</w:t>
      </w:r>
      <w:r w:rsidR="001F43E0" w:rsidRPr="00A0355B">
        <w:rPr>
          <w:rFonts w:eastAsia="Times New Roman" w:cstheme="minorHAnsi"/>
          <w:lang w:eastAsia="hr-HR"/>
        </w:rPr>
        <w:t xml:space="preserve"> učenika), dopunske nastave (</w:t>
      </w:r>
      <w:r w:rsidR="008948EE" w:rsidRPr="00A0355B">
        <w:rPr>
          <w:rFonts w:eastAsia="Times New Roman" w:cstheme="minorHAnsi"/>
          <w:lang w:eastAsia="hr-HR"/>
        </w:rPr>
        <w:t>235</w:t>
      </w:r>
      <w:r w:rsidR="001F43E0" w:rsidRPr="00A0355B">
        <w:rPr>
          <w:rFonts w:eastAsia="Times New Roman" w:cstheme="minorHAnsi"/>
          <w:lang w:eastAsia="hr-HR"/>
        </w:rPr>
        <w:t xml:space="preserve"> učenika), izborne nastave (1</w:t>
      </w:r>
      <w:r w:rsidR="008948EE" w:rsidRPr="00A0355B">
        <w:rPr>
          <w:rFonts w:eastAsia="Times New Roman" w:cstheme="minorHAnsi"/>
          <w:lang w:eastAsia="hr-HR"/>
        </w:rPr>
        <w:t>205</w:t>
      </w:r>
      <w:r w:rsidR="001F43E0" w:rsidRPr="00A0355B">
        <w:rPr>
          <w:rFonts w:eastAsia="Times New Roman" w:cstheme="minorHAnsi"/>
          <w:lang w:eastAsia="hr-HR"/>
        </w:rPr>
        <w:t xml:space="preserve"> učenika) i sudjelovanjem u različitim projektima i aktivnostima. </w:t>
      </w:r>
    </w:p>
    <w:p w14:paraId="71CFA4EB" w14:textId="75C7B089" w:rsidR="007B68E0" w:rsidRPr="00A0355B" w:rsidRDefault="00E67AFE" w:rsidP="007B68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0355B">
        <w:rPr>
          <w:rFonts w:eastAsia="Calibri" w:cstheme="minorHAnsi"/>
          <w:color w:val="000000"/>
        </w:rPr>
        <w:t>Aktivnost Rashodi iznad zakonskog standarda</w:t>
      </w:r>
      <w:r w:rsidR="006B265B" w:rsidRPr="00A0355B">
        <w:rPr>
          <w:rFonts w:eastAsia="Calibri" w:cstheme="minorHAnsi"/>
          <w:color w:val="000000"/>
        </w:rPr>
        <w:t xml:space="preserve"> ob</w:t>
      </w:r>
      <w:r w:rsidR="009C0167" w:rsidRPr="00A0355B">
        <w:rPr>
          <w:rFonts w:eastAsia="Calibri" w:cstheme="minorHAnsi"/>
          <w:color w:val="000000"/>
        </w:rPr>
        <w:t>u</w:t>
      </w:r>
      <w:r w:rsidR="006B265B" w:rsidRPr="00A0355B">
        <w:rPr>
          <w:rFonts w:eastAsia="Calibri" w:cstheme="minorHAnsi"/>
          <w:color w:val="000000"/>
        </w:rPr>
        <w:t>hvaća preostale rashode potrebne za obavljanje redovne odgojno-obrazovne djelatnosti škole- rashode za zaposlene, koji se financiraju iz državnog proračuna, materijalne rashode, rashode za nabavu nefinancijske imovine i drugo koji se dodatno financiraju iz gradskog proračuna</w:t>
      </w:r>
      <w:r w:rsidR="009C0167" w:rsidRPr="00A0355B">
        <w:rPr>
          <w:rFonts w:eastAsia="Calibri" w:cstheme="minorHAnsi"/>
          <w:color w:val="000000"/>
        </w:rPr>
        <w:t>, uplata roditelja i drugih izvora. Rashodi ove aktivnosti planirani su za 2</w:t>
      </w:r>
      <w:r w:rsidRPr="00A0355B">
        <w:rPr>
          <w:rFonts w:eastAsia="Calibri" w:cstheme="minorHAnsi"/>
          <w:color w:val="000000"/>
        </w:rPr>
        <w:t>02</w:t>
      </w:r>
      <w:r w:rsidR="00F902CC" w:rsidRPr="00A0355B">
        <w:rPr>
          <w:rFonts w:eastAsia="Calibri" w:cstheme="minorHAnsi"/>
          <w:color w:val="000000"/>
        </w:rPr>
        <w:t>6</w:t>
      </w:r>
      <w:r w:rsidRPr="00A0355B">
        <w:rPr>
          <w:rFonts w:eastAsia="Calibri" w:cstheme="minorHAnsi"/>
          <w:color w:val="000000"/>
        </w:rPr>
        <w:t>. godi</w:t>
      </w:r>
      <w:r w:rsidR="00136A08" w:rsidRPr="00A0355B">
        <w:rPr>
          <w:rFonts w:eastAsia="Calibri" w:cstheme="minorHAnsi"/>
          <w:color w:val="000000"/>
        </w:rPr>
        <w:t>nu</w:t>
      </w:r>
      <w:r w:rsidRPr="00A0355B">
        <w:rPr>
          <w:rFonts w:eastAsia="Calibri" w:cstheme="minorHAnsi"/>
          <w:color w:val="000000"/>
        </w:rPr>
        <w:t xml:space="preserve"> u iznosu</w:t>
      </w:r>
      <w:r w:rsidR="00BA4854" w:rsidRPr="00A0355B">
        <w:rPr>
          <w:rFonts w:eastAsia="Calibri" w:cstheme="minorHAnsi"/>
          <w:color w:val="000000"/>
        </w:rPr>
        <w:t xml:space="preserve"> 4.</w:t>
      </w:r>
      <w:r w:rsidR="00F46A3B">
        <w:rPr>
          <w:rFonts w:eastAsia="Calibri" w:cstheme="minorHAnsi"/>
          <w:color w:val="000000"/>
        </w:rPr>
        <w:t>138.142,</w:t>
      </w:r>
      <w:r w:rsidR="00BA4854" w:rsidRPr="00A0355B">
        <w:rPr>
          <w:rFonts w:eastAsia="Calibri" w:cstheme="minorHAnsi"/>
          <w:color w:val="000000"/>
        </w:rPr>
        <w:t xml:space="preserve">00 </w:t>
      </w:r>
      <w:r w:rsidRPr="00A0355B">
        <w:rPr>
          <w:rFonts w:eastAsia="Calibri" w:cstheme="minorHAnsi"/>
          <w:color w:val="000000"/>
        </w:rPr>
        <w:t>eura</w:t>
      </w:r>
      <w:r w:rsidR="009C0167" w:rsidRPr="00A0355B">
        <w:rPr>
          <w:rFonts w:eastAsia="Calibri" w:cstheme="minorHAnsi"/>
          <w:color w:val="000000"/>
        </w:rPr>
        <w:t>.</w:t>
      </w:r>
      <w:r w:rsidR="00B6535F" w:rsidRPr="00A0355B">
        <w:rPr>
          <w:rFonts w:eastAsia="Calibri" w:cstheme="minorHAnsi"/>
          <w:color w:val="000000"/>
        </w:rPr>
        <w:t xml:space="preserve"> </w:t>
      </w:r>
      <w:r w:rsidR="00D22D4C" w:rsidRPr="00A0355B">
        <w:rPr>
          <w:rFonts w:eastAsia="Calibri" w:cstheme="minorHAnsi"/>
          <w:color w:val="000000"/>
        </w:rPr>
        <w:t>O</w:t>
      </w:r>
      <w:r w:rsidR="00B6535F" w:rsidRPr="00A0355B">
        <w:rPr>
          <w:rFonts w:eastAsia="Calibri" w:cstheme="minorHAnsi"/>
          <w:color w:val="000000"/>
        </w:rPr>
        <w:t>dnos</w:t>
      </w:r>
      <w:r w:rsidR="002E0AC4" w:rsidRPr="00A0355B">
        <w:rPr>
          <w:rFonts w:eastAsia="Calibri" w:cstheme="minorHAnsi"/>
          <w:color w:val="000000"/>
        </w:rPr>
        <w:t>e</w:t>
      </w:r>
      <w:r w:rsidR="00B6535F" w:rsidRPr="00A0355B">
        <w:rPr>
          <w:rFonts w:eastAsia="Calibri" w:cstheme="minorHAnsi"/>
          <w:color w:val="000000"/>
        </w:rPr>
        <w:t xml:space="preserve"> se na </w:t>
      </w:r>
      <w:r w:rsidR="001B2823" w:rsidRPr="00A0355B">
        <w:rPr>
          <w:rFonts w:eastAsia="Calibri" w:cstheme="minorHAnsi"/>
          <w:color w:val="000000"/>
        </w:rPr>
        <w:t>rashode iznad zakonskog standarda koji se financiraju dodatnim sredstvima Grada kao osnivača</w:t>
      </w:r>
      <w:r w:rsidR="002E0AC4" w:rsidRPr="00A0355B">
        <w:rPr>
          <w:rFonts w:eastAsia="Calibri" w:cstheme="minorHAnsi"/>
          <w:color w:val="000000"/>
        </w:rPr>
        <w:t xml:space="preserve"> u iznosu </w:t>
      </w:r>
      <w:r w:rsidR="00737BB4">
        <w:rPr>
          <w:rFonts w:eastAsia="Calibri" w:cstheme="minorHAnsi"/>
          <w:color w:val="000000"/>
        </w:rPr>
        <w:t>827.870</w:t>
      </w:r>
      <w:r w:rsidR="00BA4854" w:rsidRPr="00A0355B">
        <w:rPr>
          <w:rFonts w:eastAsia="Calibri" w:cstheme="minorHAnsi"/>
          <w:color w:val="000000"/>
        </w:rPr>
        <w:t>,00</w:t>
      </w:r>
      <w:r w:rsidR="002E0AC4" w:rsidRPr="00A0355B">
        <w:rPr>
          <w:rFonts w:eastAsia="Calibri" w:cstheme="minorHAnsi"/>
          <w:color w:val="000000"/>
        </w:rPr>
        <w:t xml:space="preserve"> e</w:t>
      </w:r>
      <w:r w:rsidR="00D22D4C" w:rsidRPr="00A0355B">
        <w:rPr>
          <w:rFonts w:eastAsia="Calibri" w:cstheme="minorHAnsi"/>
          <w:color w:val="000000"/>
        </w:rPr>
        <w:t>ura i vrijednosno najvećim dijelom obuhvaćaju rashode za plaće, doprinose i materijalne naknade učiteljima u produženom boravku</w:t>
      </w:r>
      <w:r w:rsidR="00D41690" w:rsidRPr="00A0355B">
        <w:rPr>
          <w:rFonts w:eastAsia="Calibri" w:cstheme="minorHAnsi"/>
          <w:color w:val="000000"/>
        </w:rPr>
        <w:t xml:space="preserve"> i zaposleniku za provođenje </w:t>
      </w:r>
      <w:r w:rsidR="004D0120" w:rsidRPr="00A0355B">
        <w:rPr>
          <w:rFonts w:eastAsia="Calibri" w:cstheme="minorHAnsi"/>
          <w:color w:val="000000"/>
        </w:rPr>
        <w:t>programa</w:t>
      </w:r>
      <w:r w:rsidR="00D41690" w:rsidRPr="00A0355B">
        <w:rPr>
          <w:rFonts w:eastAsia="Calibri" w:cstheme="minorHAnsi"/>
          <w:color w:val="000000"/>
        </w:rPr>
        <w:t xml:space="preserve"> Građanski odgoj i obrazovanje,</w:t>
      </w:r>
      <w:r w:rsidR="00D22D4C" w:rsidRPr="00A0355B">
        <w:rPr>
          <w:rFonts w:eastAsia="Calibri" w:cstheme="minorHAnsi"/>
          <w:color w:val="000000"/>
        </w:rPr>
        <w:t xml:space="preserve"> rashode za najamninu sportske dvorane</w:t>
      </w:r>
      <w:r w:rsidR="00BA4854" w:rsidRPr="00A0355B">
        <w:rPr>
          <w:rFonts w:eastAsia="Calibri" w:cstheme="minorHAnsi"/>
          <w:color w:val="000000"/>
        </w:rPr>
        <w:t>, prijevoz učenika, nabavu radnih bilježnica i drugih obrazovnih materijala</w:t>
      </w:r>
      <w:r w:rsidR="00D22D4C" w:rsidRPr="00A0355B">
        <w:rPr>
          <w:rFonts w:eastAsia="Calibri" w:cstheme="minorHAnsi"/>
          <w:color w:val="000000"/>
        </w:rPr>
        <w:t xml:space="preserve"> te rashode</w:t>
      </w:r>
      <w:r w:rsidR="00737BB4">
        <w:rPr>
          <w:rFonts w:eastAsia="Calibri" w:cstheme="minorHAnsi"/>
          <w:color w:val="000000"/>
        </w:rPr>
        <w:t xml:space="preserve"> za nabavu namještaja (opremanje ureda, učionica, školske knjižnice</w:t>
      </w:r>
      <w:r w:rsidR="00835593">
        <w:rPr>
          <w:rFonts w:eastAsia="Calibri" w:cstheme="minorHAnsi"/>
          <w:color w:val="000000"/>
        </w:rPr>
        <w:t>),</w:t>
      </w:r>
      <w:r w:rsidR="00737BB4">
        <w:rPr>
          <w:rFonts w:eastAsia="Calibri" w:cstheme="minorHAnsi"/>
          <w:color w:val="000000"/>
        </w:rPr>
        <w:t xml:space="preserve"> opremanje čajne kuhinje u područnoj školi Veliki Raven </w:t>
      </w:r>
      <w:r w:rsidR="00B23C31">
        <w:rPr>
          <w:rFonts w:eastAsia="Calibri" w:cstheme="minorHAnsi"/>
          <w:color w:val="000000"/>
        </w:rPr>
        <w:t>i</w:t>
      </w:r>
      <w:r w:rsidR="00D22D4C" w:rsidRPr="00A0355B">
        <w:rPr>
          <w:rFonts w:eastAsia="Calibri" w:cstheme="minorHAnsi"/>
          <w:color w:val="000000"/>
        </w:rPr>
        <w:t xml:space="preserve"> dodatna ulaganja na građevinskim objektima</w:t>
      </w:r>
      <w:r w:rsidR="00BA4854" w:rsidRPr="00A0355B">
        <w:rPr>
          <w:rFonts w:eastAsia="Calibri" w:cstheme="minorHAnsi"/>
          <w:color w:val="000000"/>
        </w:rPr>
        <w:t xml:space="preserve"> (sanacija svlačionica u </w:t>
      </w:r>
      <w:r w:rsidR="00BA4854" w:rsidRPr="00A0355B">
        <w:rPr>
          <w:rFonts w:eastAsia="Calibri" w:cstheme="minorHAnsi"/>
          <w:color w:val="000000"/>
        </w:rPr>
        <w:lastRenderedPageBreak/>
        <w:t>sportskoj dvorani</w:t>
      </w:r>
      <w:r w:rsidR="00737BB4">
        <w:rPr>
          <w:rFonts w:eastAsia="Calibri" w:cstheme="minorHAnsi"/>
          <w:color w:val="000000"/>
        </w:rPr>
        <w:t xml:space="preserve"> i zidova u PŠ Veliki Raven</w:t>
      </w:r>
      <w:r w:rsidR="00BA4854" w:rsidRPr="00A0355B">
        <w:rPr>
          <w:rFonts w:eastAsia="Calibri" w:cstheme="minorHAnsi"/>
          <w:color w:val="000000"/>
        </w:rPr>
        <w:t>)</w:t>
      </w:r>
      <w:r w:rsidR="00D22D4C" w:rsidRPr="00A0355B">
        <w:rPr>
          <w:rFonts w:eastAsia="Calibri" w:cstheme="minorHAnsi"/>
          <w:color w:val="000000"/>
        </w:rPr>
        <w:t>.</w:t>
      </w:r>
      <w:r w:rsidR="00244718" w:rsidRPr="00A0355B">
        <w:rPr>
          <w:rFonts w:eastAsia="Calibri" w:cstheme="minorHAnsi"/>
          <w:color w:val="000000"/>
        </w:rPr>
        <w:t xml:space="preserve"> Obuhvaćaju i</w:t>
      </w:r>
      <w:r w:rsidR="001B2823" w:rsidRPr="00A0355B">
        <w:rPr>
          <w:rFonts w:eastAsia="Calibri" w:cstheme="minorHAnsi"/>
          <w:color w:val="000000"/>
        </w:rPr>
        <w:t xml:space="preserve"> rashode koji se podmiruju iz</w:t>
      </w:r>
      <w:r w:rsidR="00D44D18" w:rsidRPr="00A0355B">
        <w:rPr>
          <w:rFonts w:eastAsia="Calibri" w:cstheme="minorHAnsi"/>
          <w:color w:val="000000"/>
        </w:rPr>
        <w:t xml:space="preserve"> ostvarenih</w:t>
      </w:r>
      <w:r w:rsidR="001B2823" w:rsidRPr="00A0355B">
        <w:rPr>
          <w:rFonts w:eastAsia="Calibri" w:cstheme="minorHAnsi"/>
          <w:color w:val="000000"/>
        </w:rPr>
        <w:t xml:space="preserve"> vlastitih priho</w:t>
      </w:r>
      <w:r w:rsidR="003F641E" w:rsidRPr="00A0355B">
        <w:rPr>
          <w:rFonts w:eastAsia="Calibri" w:cstheme="minorHAnsi"/>
          <w:color w:val="000000"/>
        </w:rPr>
        <w:t xml:space="preserve">da za </w:t>
      </w:r>
      <w:r w:rsidR="007B68E0" w:rsidRPr="00A0355B">
        <w:rPr>
          <w:rFonts w:eastAsia="Calibri" w:cstheme="minorHAnsi"/>
          <w:color w:val="000000"/>
        </w:rPr>
        <w:t>materijalne i financijske rashode</w:t>
      </w:r>
      <w:r w:rsidR="00D44D18" w:rsidRPr="00A0355B">
        <w:rPr>
          <w:rFonts w:eastAsia="Calibri" w:cstheme="minorHAnsi"/>
          <w:color w:val="000000"/>
        </w:rPr>
        <w:t>.</w:t>
      </w:r>
      <w:r w:rsidR="007B68E0" w:rsidRPr="00A0355B">
        <w:rPr>
          <w:rFonts w:eastAsia="Calibri" w:cstheme="minorHAnsi"/>
          <w:color w:val="000000"/>
        </w:rPr>
        <w:t xml:space="preserve"> Obuhvaćaju i prihode po posebnim propisima, a koji se odnose na </w:t>
      </w:r>
      <w:r w:rsidR="007B68E0" w:rsidRPr="00A0355B">
        <w:rPr>
          <w:rFonts w:eastAsia="Times New Roman" w:cstheme="minorHAnsi"/>
          <w:lang w:eastAsia="hr-HR"/>
        </w:rPr>
        <w:t>materijalne rashode</w:t>
      </w:r>
      <w:r w:rsidR="00E500FF" w:rsidRPr="00A0355B">
        <w:rPr>
          <w:rFonts w:eastAsia="Times New Roman" w:cstheme="minorHAnsi"/>
          <w:lang w:eastAsia="hr-HR"/>
        </w:rPr>
        <w:t xml:space="preserve"> za </w:t>
      </w:r>
      <w:r w:rsidR="007B68E0" w:rsidRPr="00A0355B">
        <w:rPr>
          <w:rFonts w:eastAsia="Times New Roman" w:cstheme="minorHAnsi"/>
          <w:lang w:eastAsia="hr-HR"/>
        </w:rPr>
        <w:t xml:space="preserve">nabavu namirnica za prehranu polaznika produženog boravka </w:t>
      </w:r>
      <w:r w:rsidR="00E775BD" w:rsidRPr="00A0355B">
        <w:rPr>
          <w:rFonts w:eastAsia="Times New Roman" w:cstheme="minorHAnsi"/>
          <w:lang w:eastAsia="hr-HR"/>
        </w:rPr>
        <w:t>i</w:t>
      </w:r>
      <w:r w:rsidR="007B68E0" w:rsidRPr="00A0355B">
        <w:rPr>
          <w:rFonts w:eastAsia="Times New Roman" w:cstheme="minorHAnsi"/>
          <w:lang w:eastAsia="hr-HR"/>
        </w:rPr>
        <w:t xml:space="preserve"> didaktičko-edukativnog i ostalog materijala za izvođenje planiranog kurikuluma</w:t>
      </w:r>
      <w:r w:rsidR="00616CF4" w:rsidRPr="00A0355B">
        <w:rPr>
          <w:rFonts w:eastAsia="Times New Roman" w:cstheme="minorHAnsi"/>
          <w:lang w:eastAsia="hr-HR"/>
        </w:rPr>
        <w:t xml:space="preserve"> te rashode za nabavu namještaj</w:t>
      </w:r>
      <w:r w:rsidR="00E775BD" w:rsidRPr="00A0355B">
        <w:rPr>
          <w:rFonts w:eastAsia="Times New Roman" w:cstheme="minorHAnsi"/>
          <w:lang w:eastAsia="hr-HR"/>
        </w:rPr>
        <w:t>a</w:t>
      </w:r>
      <w:r w:rsidR="00E500FF" w:rsidRPr="00A0355B">
        <w:rPr>
          <w:rFonts w:eastAsia="Times New Roman" w:cstheme="minorHAnsi"/>
          <w:lang w:eastAsia="hr-HR"/>
        </w:rPr>
        <w:t xml:space="preserve"> </w:t>
      </w:r>
      <w:r w:rsidR="007B68E0" w:rsidRPr="00A0355B">
        <w:rPr>
          <w:rFonts w:eastAsia="Times New Roman" w:cstheme="minorHAnsi"/>
          <w:lang w:eastAsia="hr-HR"/>
        </w:rPr>
        <w:t xml:space="preserve"> sa ciljem da se </w:t>
      </w:r>
      <w:r w:rsidR="007B68E0" w:rsidRPr="00A0355B">
        <w:rPr>
          <w:rFonts w:cstheme="minorHAnsi"/>
        </w:rPr>
        <w:t>osigura učenicima od 1. do 4. razreda boravak u školi prije i nakon redovne nastave sa organiziranim aktivnostima i prehranom.</w:t>
      </w:r>
    </w:p>
    <w:p w14:paraId="139C660E" w14:textId="3990ECE9" w:rsidR="0022770C" w:rsidRPr="00A0355B" w:rsidRDefault="00D44D18" w:rsidP="00BD54EF">
      <w:pPr>
        <w:spacing w:after="0" w:line="240" w:lineRule="auto"/>
        <w:jc w:val="both"/>
        <w:rPr>
          <w:rFonts w:cstheme="minorHAnsi"/>
        </w:rPr>
      </w:pPr>
      <w:r w:rsidRPr="00A0355B">
        <w:rPr>
          <w:rFonts w:eastAsia="Calibri" w:cstheme="minorHAnsi"/>
          <w:color w:val="000000"/>
        </w:rPr>
        <w:t>Vrijednosno najznačajni</w:t>
      </w:r>
      <w:r w:rsidR="00FD105E" w:rsidRPr="00A0355B">
        <w:rPr>
          <w:rFonts w:eastAsia="Calibri" w:cstheme="minorHAnsi"/>
          <w:color w:val="000000"/>
        </w:rPr>
        <w:t xml:space="preserve">ji iznos odnosi </w:t>
      </w:r>
      <w:r w:rsidRPr="00A0355B">
        <w:rPr>
          <w:rFonts w:eastAsia="Calibri" w:cstheme="minorHAnsi"/>
          <w:color w:val="000000"/>
        </w:rPr>
        <w:t xml:space="preserve"> se na pomoći</w:t>
      </w:r>
      <w:r w:rsidR="00B26C02" w:rsidRPr="00A0355B">
        <w:rPr>
          <w:rFonts w:eastAsia="Calibri" w:cstheme="minorHAnsi"/>
          <w:color w:val="000000"/>
        </w:rPr>
        <w:t xml:space="preserve"> iz državnog proračuna</w:t>
      </w:r>
      <w:r w:rsidRPr="00A0355B">
        <w:rPr>
          <w:rFonts w:eastAsia="Calibri" w:cstheme="minorHAnsi"/>
          <w:color w:val="000000"/>
        </w:rPr>
        <w:t xml:space="preserve"> u ukupnom iznosu </w:t>
      </w:r>
      <w:r w:rsidR="00FD105E" w:rsidRPr="00A0355B">
        <w:rPr>
          <w:rFonts w:eastAsia="Calibri" w:cstheme="minorHAnsi"/>
          <w:color w:val="000000"/>
        </w:rPr>
        <w:t>3.2</w:t>
      </w:r>
      <w:r w:rsidR="00F902CC" w:rsidRPr="00A0355B">
        <w:rPr>
          <w:rFonts w:eastAsia="Calibri" w:cstheme="minorHAnsi"/>
          <w:color w:val="000000"/>
        </w:rPr>
        <w:t>5</w:t>
      </w:r>
      <w:r w:rsidR="00B26C02" w:rsidRPr="00A0355B">
        <w:rPr>
          <w:rFonts w:eastAsia="Calibri" w:cstheme="minorHAnsi"/>
          <w:color w:val="000000"/>
        </w:rPr>
        <w:t>4.072</w:t>
      </w:r>
      <w:r w:rsidR="00F902CC" w:rsidRPr="00A0355B">
        <w:rPr>
          <w:rFonts w:eastAsia="Calibri" w:cstheme="minorHAnsi"/>
          <w:color w:val="000000"/>
        </w:rPr>
        <w:t>,00</w:t>
      </w:r>
      <w:r w:rsidRPr="00A0355B">
        <w:rPr>
          <w:rFonts w:eastAsia="Calibri" w:cstheme="minorHAnsi"/>
          <w:color w:val="000000"/>
        </w:rPr>
        <w:t xml:space="preserve"> eura z</w:t>
      </w:r>
      <w:r w:rsidR="00B477B8" w:rsidRPr="00A0355B">
        <w:rPr>
          <w:rFonts w:eastAsia="Calibri" w:cstheme="minorHAnsi"/>
          <w:color w:val="000000"/>
        </w:rPr>
        <w:t>a rashode za zaposlene (plaće za redovan rad</w:t>
      </w:r>
      <w:r w:rsidR="00771C71" w:rsidRPr="00A0355B">
        <w:rPr>
          <w:rFonts w:eastAsia="Calibri" w:cstheme="minorHAnsi"/>
          <w:color w:val="000000"/>
        </w:rPr>
        <w:t>, ostale rashode za zaposlene</w:t>
      </w:r>
      <w:r w:rsidR="00B477B8" w:rsidRPr="00A0355B">
        <w:rPr>
          <w:rFonts w:eastAsia="Calibri" w:cstheme="minorHAnsi"/>
          <w:color w:val="000000"/>
        </w:rPr>
        <w:t xml:space="preserve"> i doprinosi)</w:t>
      </w:r>
      <w:r w:rsidR="00B26C02" w:rsidRPr="00A0355B">
        <w:rPr>
          <w:rFonts w:eastAsia="Calibri" w:cstheme="minorHAnsi"/>
          <w:color w:val="000000"/>
        </w:rPr>
        <w:t xml:space="preserve">, </w:t>
      </w:r>
      <w:r w:rsidR="00323B44" w:rsidRPr="00A0355B">
        <w:rPr>
          <w:rFonts w:eastAsia="Calibri" w:cstheme="minorHAnsi"/>
          <w:color w:val="000000"/>
        </w:rPr>
        <w:t>materijalne rashode od kojih su vrijednosno najznačajniji rashodi za nabavu namirnica za prehranu učenika</w:t>
      </w:r>
      <w:r w:rsidR="00B26C02" w:rsidRPr="00A0355B">
        <w:rPr>
          <w:rFonts w:eastAsia="Calibri" w:cstheme="minorHAnsi"/>
          <w:color w:val="000000"/>
        </w:rPr>
        <w:t xml:space="preserve"> te naknade građanima za nabavu udžbenika radnog karaktera i rashod</w:t>
      </w:r>
      <w:r w:rsidR="00F00D9A" w:rsidRPr="00A0355B">
        <w:rPr>
          <w:rFonts w:eastAsia="Calibri" w:cstheme="minorHAnsi"/>
          <w:color w:val="000000"/>
        </w:rPr>
        <w:t xml:space="preserve">e </w:t>
      </w:r>
      <w:r w:rsidR="00B26C02" w:rsidRPr="00A0355B">
        <w:rPr>
          <w:rFonts w:eastAsia="Calibri" w:cstheme="minorHAnsi"/>
          <w:color w:val="000000"/>
        </w:rPr>
        <w:t>za nabavu udžbenik</w:t>
      </w:r>
      <w:r w:rsidR="00F00D9A" w:rsidRPr="00A0355B">
        <w:rPr>
          <w:rFonts w:eastAsia="Calibri" w:cstheme="minorHAnsi"/>
          <w:color w:val="000000"/>
        </w:rPr>
        <w:t>a</w:t>
      </w:r>
      <w:r w:rsidR="00B26C02" w:rsidRPr="00A0355B">
        <w:rPr>
          <w:rFonts w:eastAsia="Calibri" w:cstheme="minorHAnsi"/>
          <w:color w:val="000000"/>
        </w:rPr>
        <w:t xml:space="preserve"> namijenjen</w:t>
      </w:r>
      <w:r w:rsidR="003E3EEC" w:rsidRPr="00A0355B">
        <w:rPr>
          <w:rFonts w:eastAsia="Calibri" w:cstheme="minorHAnsi"/>
          <w:color w:val="000000"/>
        </w:rPr>
        <w:t>ih</w:t>
      </w:r>
      <w:r w:rsidR="00B26C02" w:rsidRPr="00A0355B">
        <w:rPr>
          <w:rFonts w:eastAsia="Calibri" w:cstheme="minorHAnsi"/>
          <w:color w:val="000000"/>
        </w:rPr>
        <w:t xml:space="preserve"> višegodišnjem korištenju</w:t>
      </w:r>
      <w:r w:rsidR="00323B44" w:rsidRPr="00A0355B">
        <w:rPr>
          <w:rFonts w:eastAsia="Calibri" w:cstheme="minorHAnsi"/>
          <w:color w:val="000000"/>
        </w:rPr>
        <w:t>.</w:t>
      </w:r>
      <w:r w:rsidR="00B26C02" w:rsidRPr="00A0355B">
        <w:rPr>
          <w:rFonts w:eastAsia="Calibri" w:cstheme="minorHAnsi"/>
          <w:color w:val="000000"/>
        </w:rPr>
        <w:t xml:space="preserve"> Ostale pomoći odnose se na</w:t>
      </w:r>
      <w:r w:rsidR="00F00D9A" w:rsidRPr="00A0355B">
        <w:rPr>
          <w:rFonts w:eastAsia="Calibri" w:cstheme="minorHAnsi"/>
          <w:color w:val="000000"/>
        </w:rPr>
        <w:t xml:space="preserve"> materijalne rashode za</w:t>
      </w:r>
      <w:r w:rsidR="00E94DD3" w:rsidRPr="00A0355B">
        <w:rPr>
          <w:rFonts w:eastAsia="Calibri" w:cstheme="minorHAnsi"/>
          <w:color w:val="000000"/>
        </w:rPr>
        <w:t xml:space="preserve"> o</w:t>
      </w:r>
      <w:r w:rsidR="00B26C02" w:rsidRPr="00A0355B">
        <w:rPr>
          <w:rFonts w:eastAsia="Calibri" w:cstheme="minorHAnsi"/>
          <w:color w:val="000000"/>
        </w:rPr>
        <w:t>rganizaciju županijskih smotri i natjecanja.</w:t>
      </w:r>
      <w:r w:rsidR="00DF3F4E" w:rsidRPr="00A0355B">
        <w:rPr>
          <w:rFonts w:eastAsia="Calibri" w:cstheme="minorHAnsi"/>
          <w:color w:val="000000"/>
        </w:rPr>
        <w:t xml:space="preserve"> Obuhvaćene su i donacije kojima je svrha određena od donatora za osiguranje učenika.</w:t>
      </w:r>
      <w:r w:rsidR="001F43E0" w:rsidRPr="00A0355B">
        <w:rPr>
          <w:rFonts w:cstheme="minorHAnsi"/>
        </w:rPr>
        <w:t xml:space="preserve"> Cilj ove aktivnosti  je osigurati sredstva za dodatne aktivnosti i programe, a zadani pokazatelj uspješnosti su broj učenika koji su</w:t>
      </w:r>
      <w:r w:rsidR="001F43E0" w:rsidRPr="00A0355B">
        <w:rPr>
          <w:rFonts w:eastAsia="Times New Roman" w:cstheme="minorHAnsi"/>
          <w:lang w:eastAsia="hr-HR"/>
        </w:rPr>
        <w:t xml:space="preserve"> sudjelovali na županijskim, državnim smotrama i natjecanjima (</w:t>
      </w:r>
      <w:r w:rsidR="00C320C6" w:rsidRPr="00A0355B">
        <w:rPr>
          <w:rFonts w:eastAsia="Times New Roman" w:cstheme="minorHAnsi"/>
          <w:lang w:eastAsia="hr-HR"/>
        </w:rPr>
        <w:t>134</w:t>
      </w:r>
      <w:r w:rsidR="001F43E0" w:rsidRPr="00A0355B">
        <w:rPr>
          <w:rFonts w:eastAsia="Times New Roman" w:cstheme="minorHAnsi"/>
          <w:lang w:eastAsia="hr-HR"/>
        </w:rPr>
        <w:t xml:space="preserve"> učenika),</w:t>
      </w:r>
      <w:r w:rsidR="001F43E0" w:rsidRPr="00A0355B">
        <w:rPr>
          <w:rFonts w:cstheme="minorHAnsi"/>
        </w:rPr>
        <w:t xml:space="preserve"> edukacija učenika prvih razreda o važnosti meda kao sastavnog dijela prehrane, podizanje standarda u područnim školama, opremanje matične škole i sportske dvorane nastavnim sredstvima, pomagalima, sportskom opremom</w:t>
      </w:r>
      <w:r w:rsidR="005E7137" w:rsidRPr="00A0355B">
        <w:rPr>
          <w:rFonts w:cstheme="minorHAnsi"/>
        </w:rPr>
        <w:t xml:space="preserve"> te </w:t>
      </w:r>
      <w:r w:rsidR="001F43E0" w:rsidRPr="00A0355B">
        <w:rPr>
          <w:rFonts w:cstheme="minorHAnsi"/>
        </w:rPr>
        <w:t>poboljšanje materijalnih uvjeta rada</w:t>
      </w:r>
      <w:r w:rsidR="00D41690" w:rsidRPr="00A0355B">
        <w:rPr>
          <w:rFonts w:cstheme="minorHAnsi"/>
        </w:rPr>
        <w:t xml:space="preserve"> kao i </w:t>
      </w:r>
      <w:r w:rsidR="00FD105E" w:rsidRPr="00A0355B">
        <w:rPr>
          <w:rFonts w:cstheme="minorHAnsi"/>
        </w:rPr>
        <w:t>broj učenika koji koriste usluge produženog bora</w:t>
      </w:r>
      <w:r w:rsidR="00B742A0" w:rsidRPr="00A0355B">
        <w:rPr>
          <w:rFonts w:cstheme="minorHAnsi"/>
        </w:rPr>
        <w:t>vka.</w:t>
      </w:r>
    </w:p>
    <w:p w14:paraId="07DD6A02" w14:textId="53DFB53C" w:rsidR="009E5521" w:rsidRPr="00A0355B" w:rsidRDefault="009E5521" w:rsidP="00BD54EF">
      <w:pPr>
        <w:spacing w:after="0" w:line="240" w:lineRule="auto"/>
        <w:jc w:val="both"/>
        <w:rPr>
          <w:rFonts w:cstheme="minorHAnsi"/>
        </w:rPr>
      </w:pPr>
      <w:r w:rsidRPr="00A0355B">
        <w:rPr>
          <w:rFonts w:eastAsia="Times New Roman" w:cstheme="minorHAnsi"/>
          <w:lang w:eastAsia="hr-HR"/>
        </w:rPr>
        <w:t>Aktivnost Školska shema planirana je u iznosu 7.700,00 eura, a odnosi se na nabavu voća i voćnih sokova, mlijeka i mliječnih proizvoda sa ciljem podizanja razine svijesti učenika o pravilnoj prehrani.</w:t>
      </w:r>
      <w:r w:rsidRPr="00A0355B">
        <w:rPr>
          <w:rFonts w:cstheme="minorHAnsi"/>
        </w:rPr>
        <w:t xml:space="preserve"> Cilj projekta je promicati zdrave prehrambene navike povećanjem unosa svježeg voća i mlijeka, a pokazatelj uspješnosti je uključenost u aktivnost svih učenika od 1. do 8. razreda.</w:t>
      </w:r>
    </w:p>
    <w:p w14:paraId="32BF70B0" w14:textId="525AF543" w:rsidR="00342F0A" w:rsidRPr="00A0355B" w:rsidRDefault="00CE7804" w:rsidP="006571C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0355B">
        <w:rPr>
          <w:rFonts w:eastAsia="Times New Roman" w:cstheme="minorHAnsi"/>
          <w:lang w:eastAsia="hr-HR"/>
        </w:rPr>
        <w:t>Aktivnost Pomozimo jedni drugima V</w:t>
      </w:r>
      <w:r w:rsidR="005237A5" w:rsidRPr="00A0355B">
        <w:rPr>
          <w:rFonts w:eastAsia="Times New Roman" w:cstheme="minorHAnsi"/>
          <w:lang w:eastAsia="hr-HR"/>
        </w:rPr>
        <w:t>I</w:t>
      </w:r>
      <w:r w:rsidRPr="00A0355B">
        <w:rPr>
          <w:rFonts w:eastAsia="Times New Roman" w:cstheme="minorHAnsi"/>
          <w:lang w:eastAsia="hr-HR"/>
        </w:rPr>
        <w:t>I</w:t>
      </w:r>
      <w:r w:rsidR="009153BD" w:rsidRPr="00A0355B">
        <w:rPr>
          <w:rFonts w:eastAsia="Times New Roman" w:cstheme="minorHAnsi"/>
          <w:lang w:eastAsia="hr-HR"/>
        </w:rPr>
        <w:t xml:space="preserve"> </w:t>
      </w:r>
      <w:r w:rsidRPr="00A0355B">
        <w:rPr>
          <w:rFonts w:eastAsia="Times New Roman" w:cstheme="minorHAnsi"/>
          <w:lang w:eastAsia="hr-HR"/>
        </w:rPr>
        <w:t xml:space="preserve"> planiran</w:t>
      </w:r>
      <w:r w:rsidR="009752DE" w:rsidRPr="00A0355B">
        <w:rPr>
          <w:rFonts w:eastAsia="Times New Roman" w:cstheme="minorHAnsi"/>
          <w:lang w:eastAsia="hr-HR"/>
        </w:rPr>
        <w:t>a je</w:t>
      </w:r>
      <w:r w:rsidRPr="00A0355B">
        <w:rPr>
          <w:rFonts w:eastAsia="Times New Roman" w:cstheme="minorHAnsi"/>
          <w:lang w:eastAsia="hr-HR"/>
        </w:rPr>
        <w:t xml:space="preserve"> u iznosu</w:t>
      </w:r>
      <w:r w:rsidR="005237A5" w:rsidRPr="00A0355B">
        <w:rPr>
          <w:rFonts w:eastAsia="Times New Roman" w:cstheme="minorHAnsi"/>
          <w:lang w:eastAsia="hr-HR"/>
        </w:rPr>
        <w:t xml:space="preserve"> </w:t>
      </w:r>
      <w:r w:rsidR="00F902CC" w:rsidRPr="00A0355B">
        <w:rPr>
          <w:rFonts w:eastAsia="Times New Roman" w:cstheme="minorHAnsi"/>
          <w:lang w:eastAsia="hr-HR"/>
        </w:rPr>
        <w:t>224.702,00</w:t>
      </w:r>
      <w:r w:rsidR="009153BD" w:rsidRPr="00A0355B">
        <w:rPr>
          <w:rFonts w:eastAsia="Times New Roman" w:cstheme="minorHAnsi"/>
          <w:lang w:eastAsia="hr-HR"/>
        </w:rPr>
        <w:t xml:space="preserve"> </w:t>
      </w:r>
      <w:r w:rsidRPr="00A0355B">
        <w:rPr>
          <w:rFonts w:eastAsia="Times New Roman" w:cstheme="minorHAnsi"/>
          <w:lang w:eastAsia="hr-HR"/>
        </w:rPr>
        <w:t>eura za isplatu plać</w:t>
      </w:r>
      <w:r w:rsidR="009752DE" w:rsidRPr="00A0355B">
        <w:rPr>
          <w:rFonts w:eastAsia="Times New Roman" w:cstheme="minorHAnsi"/>
          <w:lang w:eastAsia="hr-HR"/>
        </w:rPr>
        <w:t>e za redovan rad</w:t>
      </w:r>
      <w:r w:rsidRPr="00A0355B">
        <w:rPr>
          <w:rFonts w:eastAsia="Times New Roman" w:cstheme="minorHAnsi"/>
          <w:lang w:eastAsia="hr-HR"/>
        </w:rPr>
        <w:t>, naknade za prijevoz i ostalih materijalnih naknada</w:t>
      </w:r>
      <w:r w:rsidR="009752DE" w:rsidRPr="00A0355B">
        <w:rPr>
          <w:rFonts w:eastAsia="Times New Roman" w:cstheme="minorHAnsi"/>
          <w:lang w:eastAsia="hr-HR"/>
        </w:rPr>
        <w:t xml:space="preserve"> za </w:t>
      </w:r>
      <w:r w:rsidR="00F902CC" w:rsidRPr="00A0355B">
        <w:rPr>
          <w:rFonts w:eastAsia="Times New Roman" w:cstheme="minorHAnsi"/>
          <w:lang w:eastAsia="hr-HR"/>
        </w:rPr>
        <w:t>petnaest</w:t>
      </w:r>
      <w:r w:rsidR="00A61897" w:rsidRPr="00A0355B">
        <w:rPr>
          <w:rFonts w:eastAsia="Times New Roman" w:cstheme="minorHAnsi"/>
          <w:lang w:eastAsia="hr-HR"/>
        </w:rPr>
        <w:t xml:space="preserve"> </w:t>
      </w:r>
      <w:r w:rsidR="009752DE" w:rsidRPr="00A0355B">
        <w:rPr>
          <w:rFonts w:eastAsia="Times New Roman" w:cstheme="minorHAnsi"/>
          <w:lang w:eastAsia="hr-HR"/>
        </w:rPr>
        <w:t>pomoćnika u nastavi</w:t>
      </w:r>
      <w:r w:rsidR="005237A5" w:rsidRPr="00A0355B">
        <w:rPr>
          <w:rFonts w:eastAsia="Times New Roman" w:cstheme="minorHAnsi"/>
          <w:lang w:eastAsia="hr-HR"/>
        </w:rPr>
        <w:t xml:space="preserve"> </w:t>
      </w:r>
      <w:r w:rsidR="009752DE" w:rsidRPr="00A0355B">
        <w:rPr>
          <w:rFonts w:eastAsia="Times New Roman" w:cstheme="minorHAnsi"/>
          <w:lang w:eastAsia="hr-HR"/>
        </w:rPr>
        <w:t xml:space="preserve"> </w:t>
      </w:r>
      <w:r w:rsidR="005237A5" w:rsidRPr="00A0355B">
        <w:rPr>
          <w:rFonts w:eastAsia="Times New Roman" w:cstheme="minorHAnsi"/>
          <w:lang w:eastAsia="hr-HR"/>
        </w:rPr>
        <w:t>koji će pružati učenicima podršku u obavljanju školskih aktivnosti i zadataka.</w:t>
      </w:r>
      <w:r w:rsidR="005237A5" w:rsidRPr="00A0355B">
        <w:rPr>
          <w:rFonts w:cstheme="minorHAnsi"/>
        </w:rPr>
        <w:t xml:space="preserve"> </w:t>
      </w:r>
      <w:r w:rsidR="006571CF" w:rsidRPr="00A0355B">
        <w:rPr>
          <w:rFonts w:cstheme="minorHAnsi"/>
        </w:rPr>
        <w:t>Cilj projekta je osigurati učenicima podršku u nastavi, komunikaciji i socijalnoj uključenosti</w:t>
      </w:r>
      <w:r w:rsidR="00786753" w:rsidRPr="00A0355B">
        <w:rPr>
          <w:rFonts w:cstheme="minorHAnsi"/>
        </w:rPr>
        <w:t>,</w:t>
      </w:r>
      <w:r w:rsidR="006571CF" w:rsidRPr="00A0355B">
        <w:rPr>
          <w:rFonts w:cstheme="minorHAnsi"/>
          <w:color w:val="FF0000"/>
        </w:rPr>
        <w:t xml:space="preserve"> </w:t>
      </w:r>
      <w:r w:rsidR="006571CF" w:rsidRPr="00A0355B">
        <w:rPr>
          <w:rFonts w:cstheme="minorHAnsi"/>
        </w:rPr>
        <w:t>a pokazatelj uspješnosti su dostatan broj osiguranih pomoćnika u nastavi potrebitim učenicima.</w:t>
      </w:r>
    </w:p>
    <w:p w14:paraId="430AE7DE" w14:textId="77777777" w:rsidR="00BD54EF" w:rsidRPr="00A0355B" w:rsidRDefault="00BD54EF" w:rsidP="006571CF">
      <w:pPr>
        <w:spacing w:after="0" w:line="240" w:lineRule="auto"/>
        <w:jc w:val="both"/>
        <w:rPr>
          <w:rFonts w:cstheme="minorHAnsi"/>
        </w:rPr>
      </w:pPr>
    </w:p>
    <w:p w14:paraId="318360D5" w14:textId="26A09E69" w:rsidR="00710230" w:rsidRPr="00A0355B" w:rsidRDefault="005060EB" w:rsidP="00710230">
      <w:pPr>
        <w:spacing w:after="200" w:line="276" w:lineRule="auto"/>
        <w:jc w:val="both"/>
        <w:rPr>
          <w:rFonts w:cstheme="minorHAnsi"/>
        </w:rPr>
      </w:pPr>
      <w:r w:rsidRPr="00A0355B">
        <w:rPr>
          <w:rFonts w:cstheme="minorHAnsi"/>
        </w:rPr>
        <w:t xml:space="preserve">           </w:t>
      </w:r>
      <w:r w:rsidR="00C8359C" w:rsidRPr="00A0355B">
        <w:rPr>
          <w:rFonts w:cstheme="minorHAnsi"/>
        </w:rPr>
        <w:t xml:space="preserve">Voditelj računovodstva      </w:t>
      </w:r>
      <w:r w:rsidR="00710230" w:rsidRPr="00A0355B">
        <w:rPr>
          <w:rFonts w:cstheme="minorHAnsi"/>
        </w:rPr>
        <w:t xml:space="preserve">                                                                       </w:t>
      </w:r>
      <w:r w:rsidR="00C8359C" w:rsidRPr="00A0355B">
        <w:rPr>
          <w:rFonts w:cstheme="minorHAnsi"/>
        </w:rPr>
        <w:t xml:space="preserve"> </w:t>
      </w:r>
      <w:r w:rsidR="00710230" w:rsidRPr="00A0355B">
        <w:rPr>
          <w:rFonts w:cstheme="minorHAnsi"/>
        </w:rPr>
        <w:t xml:space="preserve"> </w:t>
      </w:r>
      <w:r w:rsidR="004F2EF3" w:rsidRPr="00A0355B">
        <w:rPr>
          <w:rFonts w:cstheme="minorHAnsi"/>
        </w:rPr>
        <w:t xml:space="preserve">  </w:t>
      </w:r>
      <w:r w:rsidR="00710230" w:rsidRPr="00A0355B">
        <w:rPr>
          <w:rFonts w:cstheme="minorHAnsi"/>
        </w:rPr>
        <w:t xml:space="preserve"> Ravnatelj</w:t>
      </w:r>
    </w:p>
    <w:p w14:paraId="1826A2AC" w14:textId="1DCEAA9D" w:rsidR="00710230" w:rsidRPr="00A0355B" w:rsidRDefault="005060EB" w:rsidP="00710230">
      <w:pPr>
        <w:spacing w:after="200" w:line="276" w:lineRule="auto"/>
        <w:jc w:val="both"/>
        <w:rPr>
          <w:rFonts w:eastAsia="Calibri" w:cstheme="minorHAnsi"/>
        </w:rPr>
      </w:pPr>
      <w:r w:rsidRPr="00A0355B">
        <w:rPr>
          <w:rFonts w:cstheme="minorHAnsi"/>
        </w:rPr>
        <w:t xml:space="preserve">            </w:t>
      </w:r>
      <w:r w:rsidR="004F2EF3" w:rsidRPr="00A0355B">
        <w:rPr>
          <w:rFonts w:cstheme="minorHAnsi"/>
        </w:rPr>
        <w:t xml:space="preserve">  Andreja Jandroković</w:t>
      </w:r>
      <w:r w:rsidR="00710230" w:rsidRPr="00A0355B">
        <w:rPr>
          <w:rFonts w:cstheme="minorHAnsi"/>
        </w:rPr>
        <w:t xml:space="preserve">                                                                          dr.sc. Tomislav Bogdanović                                      </w:t>
      </w:r>
    </w:p>
    <w:p w14:paraId="1D3B6B6A" w14:textId="77777777" w:rsidR="00710230" w:rsidRPr="00A0355B" w:rsidRDefault="00710230" w:rsidP="0071023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</w:rPr>
      </w:pPr>
    </w:p>
    <w:p w14:paraId="0B948D90" w14:textId="77777777" w:rsidR="00710230" w:rsidRPr="00A0355B" w:rsidRDefault="00710230" w:rsidP="00710230">
      <w:pPr>
        <w:rPr>
          <w:rFonts w:cstheme="minorHAnsi"/>
        </w:rPr>
      </w:pPr>
    </w:p>
    <w:p w14:paraId="7888C8C6" w14:textId="77777777" w:rsidR="00204215" w:rsidRPr="00A0355B" w:rsidRDefault="00204215">
      <w:pPr>
        <w:rPr>
          <w:rFonts w:cstheme="minorHAnsi"/>
        </w:rPr>
      </w:pPr>
    </w:p>
    <w:sectPr w:rsidR="00204215" w:rsidRPr="00A0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7263"/>
    <w:multiLevelType w:val="hybridMultilevel"/>
    <w:tmpl w:val="F614F656"/>
    <w:lvl w:ilvl="0" w:tplc="FFB43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97EFB"/>
    <w:multiLevelType w:val="hybridMultilevel"/>
    <w:tmpl w:val="1AF45D7A"/>
    <w:lvl w:ilvl="0" w:tplc="A26CBCB6">
      <w:start w:val="9"/>
      <w:numFmt w:val="decimalZero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AC3621"/>
    <w:multiLevelType w:val="hybridMultilevel"/>
    <w:tmpl w:val="391EC0D0"/>
    <w:lvl w:ilvl="0" w:tplc="AC8053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3778E"/>
    <w:multiLevelType w:val="hybridMultilevel"/>
    <w:tmpl w:val="0442C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44152"/>
    <w:multiLevelType w:val="hybridMultilevel"/>
    <w:tmpl w:val="223CE43C"/>
    <w:lvl w:ilvl="0" w:tplc="B588C0F4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30"/>
    <w:rsid w:val="0000191C"/>
    <w:rsid w:val="00014150"/>
    <w:rsid w:val="00064288"/>
    <w:rsid w:val="00080938"/>
    <w:rsid w:val="00095767"/>
    <w:rsid w:val="000A27DD"/>
    <w:rsid w:val="000A2C97"/>
    <w:rsid w:val="000B52F1"/>
    <w:rsid w:val="000B6F8C"/>
    <w:rsid w:val="000B747A"/>
    <w:rsid w:val="000C2372"/>
    <w:rsid w:val="000E2D1B"/>
    <w:rsid w:val="000E2DDB"/>
    <w:rsid w:val="000E7F6F"/>
    <w:rsid w:val="000F24B9"/>
    <w:rsid w:val="000F37F3"/>
    <w:rsid w:val="000F5E2D"/>
    <w:rsid w:val="001174F2"/>
    <w:rsid w:val="00121ED5"/>
    <w:rsid w:val="00122F05"/>
    <w:rsid w:val="00123E1E"/>
    <w:rsid w:val="00125A61"/>
    <w:rsid w:val="001362DD"/>
    <w:rsid w:val="00136A08"/>
    <w:rsid w:val="00137124"/>
    <w:rsid w:val="00141509"/>
    <w:rsid w:val="00145E83"/>
    <w:rsid w:val="00172D03"/>
    <w:rsid w:val="0017550B"/>
    <w:rsid w:val="00190516"/>
    <w:rsid w:val="00190DBE"/>
    <w:rsid w:val="00197023"/>
    <w:rsid w:val="001A0EF4"/>
    <w:rsid w:val="001B2823"/>
    <w:rsid w:val="001B326D"/>
    <w:rsid w:val="001B4868"/>
    <w:rsid w:val="001C76EE"/>
    <w:rsid w:val="001D2C30"/>
    <w:rsid w:val="001D6210"/>
    <w:rsid w:val="001D69E8"/>
    <w:rsid w:val="001E3AB9"/>
    <w:rsid w:val="001E6052"/>
    <w:rsid w:val="001F126A"/>
    <w:rsid w:val="001F1CDB"/>
    <w:rsid w:val="001F43E0"/>
    <w:rsid w:val="001F458B"/>
    <w:rsid w:val="00204215"/>
    <w:rsid w:val="0020514C"/>
    <w:rsid w:val="00206FDE"/>
    <w:rsid w:val="002216C6"/>
    <w:rsid w:val="00226F3A"/>
    <w:rsid w:val="0022770C"/>
    <w:rsid w:val="00230E15"/>
    <w:rsid w:val="002360CE"/>
    <w:rsid w:val="00244718"/>
    <w:rsid w:val="00246DF6"/>
    <w:rsid w:val="00251593"/>
    <w:rsid w:val="0025349B"/>
    <w:rsid w:val="00282E5B"/>
    <w:rsid w:val="00287D6C"/>
    <w:rsid w:val="0029012E"/>
    <w:rsid w:val="00296D36"/>
    <w:rsid w:val="002A27E5"/>
    <w:rsid w:val="002A6532"/>
    <w:rsid w:val="002A7939"/>
    <w:rsid w:val="002C02FC"/>
    <w:rsid w:val="002C4FDB"/>
    <w:rsid w:val="002D2342"/>
    <w:rsid w:val="002D5C1E"/>
    <w:rsid w:val="002E0AC4"/>
    <w:rsid w:val="002F1ACA"/>
    <w:rsid w:val="0031662D"/>
    <w:rsid w:val="00323B44"/>
    <w:rsid w:val="0033078A"/>
    <w:rsid w:val="00337137"/>
    <w:rsid w:val="00342F0A"/>
    <w:rsid w:val="00343DD0"/>
    <w:rsid w:val="00370E8F"/>
    <w:rsid w:val="00397D0F"/>
    <w:rsid w:val="003A10E7"/>
    <w:rsid w:val="003A1865"/>
    <w:rsid w:val="003D0DC9"/>
    <w:rsid w:val="003D2D6C"/>
    <w:rsid w:val="003D45C7"/>
    <w:rsid w:val="003E20B7"/>
    <w:rsid w:val="003E3EEC"/>
    <w:rsid w:val="003F641E"/>
    <w:rsid w:val="0040673F"/>
    <w:rsid w:val="0041798A"/>
    <w:rsid w:val="00420FC5"/>
    <w:rsid w:val="00432161"/>
    <w:rsid w:val="00435C13"/>
    <w:rsid w:val="00445814"/>
    <w:rsid w:val="004667E8"/>
    <w:rsid w:val="004749BC"/>
    <w:rsid w:val="00477E9E"/>
    <w:rsid w:val="004A1867"/>
    <w:rsid w:val="004A3CBF"/>
    <w:rsid w:val="004A73AE"/>
    <w:rsid w:val="004B00FF"/>
    <w:rsid w:val="004B2CA6"/>
    <w:rsid w:val="004D0120"/>
    <w:rsid w:val="004E384E"/>
    <w:rsid w:val="004E79D1"/>
    <w:rsid w:val="004F2EF3"/>
    <w:rsid w:val="004F60C9"/>
    <w:rsid w:val="004F75D9"/>
    <w:rsid w:val="00501C5D"/>
    <w:rsid w:val="005060EB"/>
    <w:rsid w:val="005147FA"/>
    <w:rsid w:val="00514BB0"/>
    <w:rsid w:val="005237A5"/>
    <w:rsid w:val="00524A65"/>
    <w:rsid w:val="005265AA"/>
    <w:rsid w:val="00526E9F"/>
    <w:rsid w:val="0053189E"/>
    <w:rsid w:val="00564EB5"/>
    <w:rsid w:val="005774B0"/>
    <w:rsid w:val="00580116"/>
    <w:rsid w:val="00584B21"/>
    <w:rsid w:val="0059161C"/>
    <w:rsid w:val="00591682"/>
    <w:rsid w:val="005931F9"/>
    <w:rsid w:val="00593D2D"/>
    <w:rsid w:val="005E415F"/>
    <w:rsid w:val="005E7137"/>
    <w:rsid w:val="0060252F"/>
    <w:rsid w:val="006074BD"/>
    <w:rsid w:val="0061333E"/>
    <w:rsid w:val="00613857"/>
    <w:rsid w:val="00616CF4"/>
    <w:rsid w:val="00620FB5"/>
    <w:rsid w:val="006261EB"/>
    <w:rsid w:val="00627AF5"/>
    <w:rsid w:val="00627B8D"/>
    <w:rsid w:val="00632793"/>
    <w:rsid w:val="00640A2A"/>
    <w:rsid w:val="00644A3E"/>
    <w:rsid w:val="00646977"/>
    <w:rsid w:val="006502BF"/>
    <w:rsid w:val="006543BB"/>
    <w:rsid w:val="006571CF"/>
    <w:rsid w:val="00657CE0"/>
    <w:rsid w:val="00661E0F"/>
    <w:rsid w:val="00662757"/>
    <w:rsid w:val="00664DFB"/>
    <w:rsid w:val="00692649"/>
    <w:rsid w:val="00696DF8"/>
    <w:rsid w:val="006A2316"/>
    <w:rsid w:val="006A2D07"/>
    <w:rsid w:val="006B265B"/>
    <w:rsid w:val="006B27DE"/>
    <w:rsid w:val="006C122A"/>
    <w:rsid w:val="006C2BD6"/>
    <w:rsid w:val="006C38C0"/>
    <w:rsid w:val="006D3F21"/>
    <w:rsid w:val="006D4C96"/>
    <w:rsid w:val="006D6912"/>
    <w:rsid w:val="006E36D8"/>
    <w:rsid w:val="006F7CCA"/>
    <w:rsid w:val="0070011B"/>
    <w:rsid w:val="00706C6F"/>
    <w:rsid w:val="00710230"/>
    <w:rsid w:val="00713976"/>
    <w:rsid w:val="0072046D"/>
    <w:rsid w:val="00730C76"/>
    <w:rsid w:val="00736B30"/>
    <w:rsid w:val="00737BB4"/>
    <w:rsid w:val="007615A3"/>
    <w:rsid w:val="00763F67"/>
    <w:rsid w:val="00771C71"/>
    <w:rsid w:val="0077490A"/>
    <w:rsid w:val="0077773D"/>
    <w:rsid w:val="0078088B"/>
    <w:rsid w:val="00785189"/>
    <w:rsid w:val="00785539"/>
    <w:rsid w:val="00786753"/>
    <w:rsid w:val="00790AC3"/>
    <w:rsid w:val="00793CB1"/>
    <w:rsid w:val="007B4635"/>
    <w:rsid w:val="007B54E8"/>
    <w:rsid w:val="007B68E0"/>
    <w:rsid w:val="007D4C6A"/>
    <w:rsid w:val="007E4202"/>
    <w:rsid w:val="007E44D0"/>
    <w:rsid w:val="007E4EC0"/>
    <w:rsid w:val="007F300A"/>
    <w:rsid w:val="007F5614"/>
    <w:rsid w:val="00810179"/>
    <w:rsid w:val="00811A5D"/>
    <w:rsid w:val="00815DBE"/>
    <w:rsid w:val="00816D7C"/>
    <w:rsid w:val="008212DE"/>
    <w:rsid w:val="008212FA"/>
    <w:rsid w:val="00822586"/>
    <w:rsid w:val="00830F9C"/>
    <w:rsid w:val="008350A7"/>
    <w:rsid w:val="00835593"/>
    <w:rsid w:val="00837930"/>
    <w:rsid w:val="0084240D"/>
    <w:rsid w:val="00862158"/>
    <w:rsid w:val="00863B6E"/>
    <w:rsid w:val="00871C7A"/>
    <w:rsid w:val="00876FB1"/>
    <w:rsid w:val="008931D2"/>
    <w:rsid w:val="008948EE"/>
    <w:rsid w:val="00896467"/>
    <w:rsid w:val="008A2713"/>
    <w:rsid w:val="008A39A4"/>
    <w:rsid w:val="008B3116"/>
    <w:rsid w:val="008C0911"/>
    <w:rsid w:val="008C0FF6"/>
    <w:rsid w:val="008D7747"/>
    <w:rsid w:val="008F5B0F"/>
    <w:rsid w:val="009036D8"/>
    <w:rsid w:val="009153BD"/>
    <w:rsid w:val="00922D64"/>
    <w:rsid w:val="009263F1"/>
    <w:rsid w:val="00930729"/>
    <w:rsid w:val="0094072E"/>
    <w:rsid w:val="0094199D"/>
    <w:rsid w:val="0095204C"/>
    <w:rsid w:val="00952A66"/>
    <w:rsid w:val="009530F9"/>
    <w:rsid w:val="009559C2"/>
    <w:rsid w:val="00963EE7"/>
    <w:rsid w:val="009720F8"/>
    <w:rsid w:val="009752DE"/>
    <w:rsid w:val="0098383A"/>
    <w:rsid w:val="009A3BFC"/>
    <w:rsid w:val="009B01A9"/>
    <w:rsid w:val="009C00AB"/>
    <w:rsid w:val="009C0167"/>
    <w:rsid w:val="009C4CF1"/>
    <w:rsid w:val="009C6CF3"/>
    <w:rsid w:val="009D29D2"/>
    <w:rsid w:val="009E5521"/>
    <w:rsid w:val="00A00A27"/>
    <w:rsid w:val="00A0355B"/>
    <w:rsid w:val="00A13E59"/>
    <w:rsid w:val="00A17540"/>
    <w:rsid w:val="00A20939"/>
    <w:rsid w:val="00A2762A"/>
    <w:rsid w:val="00A30E98"/>
    <w:rsid w:val="00A33A8C"/>
    <w:rsid w:val="00A36A15"/>
    <w:rsid w:val="00A36F46"/>
    <w:rsid w:val="00A374B1"/>
    <w:rsid w:val="00A37A65"/>
    <w:rsid w:val="00A4459C"/>
    <w:rsid w:val="00A50296"/>
    <w:rsid w:val="00A56071"/>
    <w:rsid w:val="00A61897"/>
    <w:rsid w:val="00A90ACF"/>
    <w:rsid w:val="00A92DBF"/>
    <w:rsid w:val="00A94C44"/>
    <w:rsid w:val="00A954AD"/>
    <w:rsid w:val="00AC0E1F"/>
    <w:rsid w:val="00AC783B"/>
    <w:rsid w:val="00AD0AB3"/>
    <w:rsid w:val="00AD51A0"/>
    <w:rsid w:val="00AD5AE9"/>
    <w:rsid w:val="00AD6FA6"/>
    <w:rsid w:val="00AE5967"/>
    <w:rsid w:val="00B01F95"/>
    <w:rsid w:val="00B23C31"/>
    <w:rsid w:val="00B26C02"/>
    <w:rsid w:val="00B33E8C"/>
    <w:rsid w:val="00B477B8"/>
    <w:rsid w:val="00B61B9E"/>
    <w:rsid w:val="00B641D5"/>
    <w:rsid w:val="00B6535F"/>
    <w:rsid w:val="00B72A5C"/>
    <w:rsid w:val="00B742A0"/>
    <w:rsid w:val="00B76112"/>
    <w:rsid w:val="00B83307"/>
    <w:rsid w:val="00BA3868"/>
    <w:rsid w:val="00BA4854"/>
    <w:rsid w:val="00BA696D"/>
    <w:rsid w:val="00BB1DFB"/>
    <w:rsid w:val="00BC558F"/>
    <w:rsid w:val="00BD54EF"/>
    <w:rsid w:val="00BD6D0D"/>
    <w:rsid w:val="00BD732E"/>
    <w:rsid w:val="00BE283C"/>
    <w:rsid w:val="00BF4762"/>
    <w:rsid w:val="00C116BC"/>
    <w:rsid w:val="00C139AC"/>
    <w:rsid w:val="00C14215"/>
    <w:rsid w:val="00C1649A"/>
    <w:rsid w:val="00C2118A"/>
    <w:rsid w:val="00C30512"/>
    <w:rsid w:val="00C30BFA"/>
    <w:rsid w:val="00C320C6"/>
    <w:rsid w:val="00C44789"/>
    <w:rsid w:val="00C50931"/>
    <w:rsid w:val="00C51B99"/>
    <w:rsid w:val="00C6083C"/>
    <w:rsid w:val="00C7201C"/>
    <w:rsid w:val="00C75249"/>
    <w:rsid w:val="00C8063D"/>
    <w:rsid w:val="00C81DF7"/>
    <w:rsid w:val="00C8359C"/>
    <w:rsid w:val="00CA6AEC"/>
    <w:rsid w:val="00CB140B"/>
    <w:rsid w:val="00CB3A94"/>
    <w:rsid w:val="00CB426E"/>
    <w:rsid w:val="00CB4C59"/>
    <w:rsid w:val="00CD7D46"/>
    <w:rsid w:val="00CE01DB"/>
    <w:rsid w:val="00CE0CB1"/>
    <w:rsid w:val="00CE7804"/>
    <w:rsid w:val="00CE7A21"/>
    <w:rsid w:val="00CF1186"/>
    <w:rsid w:val="00CF25C9"/>
    <w:rsid w:val="00CF35B5"/>
    <w:rsid w:val="00D0250F"/>
    <w:rsid w:val="00D069AD"/>
    <w:rsid w:val="00D06CD6"/>
    <w:rsid w:val="00D2134B"/>
    <w:rsid w:val="00D22D4C"/>
    <w:rsid w:val="00D2583F"/>
    <w:rsid w:val="00D32F2B"/>
    <w:rsid w:val="00D330A4"/>
    <w:rsid w:val="00D41690"/>
    <w:rsid w:val="00D42ED0"/>
    <w:rsid w:val="00D44D18"/>
    <w:rsid w:val="00D514E4"/>
    <w:rsid w:val="00D52FCA"/>
    <w:rsid w:val="00D557F5"/>
    <w:rsid w:val="00D928D2"/>
    <w:rsid w:val="00D9296B"/>
    <w:rsid w:val="00D93A43"/>
    <w:rsid w:val="00DA3192"/>
    <w:rsid w:val="00DB609D"/>
    <w:rsid w:val="00DB6726"/>
    <w:rsid w:val="00DC6E03"/>
    <w:rsid w:val="00DC7EEB"/>
    <w:rsid w:val="00DD2C5A"/>
    <w:rsid w:val="00DD47BA"/>
    <w:rsid w:val="00DE18B0"/>
    <w:rsid w:val="00DF3F4E"/>
    <w:rsid w:val="00DF5559"/>
    <w:rsid w:val="00E03A8E"/>
    <w:rsid w:val="00E07FC8"/>
    <w:rsid w:val="00E235F2"/>
    <w:rsid w:val="00E370E6"/>
    <w:rsid w:val="00E44EC1"/>
    <w:rsid w:val="00E4507B"/>
    <w:rsid w:val="00E500FF"/>
    <w:rsid w:val="00E50B6D"/>
    <w:rsid w:val="00E526FC"/>
    <w:rsid w:val="00E54FC2"/>
    <w:rsid w:val="00E577FC"/>
    <w:rsid w:val="00E66373"/>
    <w:rsid w:val="00E67A8F"/>
    <w:rsid w:val="00E67AFE"/>
    <w:rsid w:val="00E67EEE"/>
    <w:rsid w:val="00E70861"/>
    <w:rsid w:val="00E75DAB"/>
    <w:rsid w:val="00E775BD"/>
    <w:rsid w:val="00E839CE"/>
    <w:rsid w:val="00E9230C"/>
    <w:rsid w:val="00E94DD3"/>
    <w:rsid w:val="00EB19A6"/>
    <w:rsid w:val="00EC4E06"/>
    <w:rsid w:val="00EC7B59"/>
    <w:rsid w:val="00ED4B8F"/>
    <w:rsid w:val="00EE1B65"/>
    <w:rsid w:val="00EE35B3"/>
    <w:rsid w:val="00EE6E78"/>
    <w:rsid w:val="00EF1787"/>
    <w:rsid w:val="00EF39CB"/>
    <w:rsid w:val="00EF6F94"/>
    <w:rsid w:val="00F00D9A"/>
    <w:rsid w:val="00F16766"/>
    <w:rsid w:val="00F34B6B"/>
    <w:rsid w:val="00F4032A"/>
    <w:rsid w:val="00F46A3B"/>
    <w:rsid w:val="00F52130"/>
    <w:rsid w:val="00F52D05"/>
    <w:rsid w:val="00F53983"/>
    <w:rsid w:val="00F675A5"/>
    <w:rsid w:val="00F72643"/>
    <w:rsid w:val="00F72A0F"/>
    <w:rsid w:val="00F73446"/>
    <w:rsid w:val="00F902CC"/>
    <w:rsid w:val="00F90AF3"/>
    <w:rsid w:val="00FA14BD"/>
    <w:rsid w:val="00FB3364"/>
    <w:rsid w:val="00FB4317"/>
    <w:rsid w:val="00FB4944"/>
    <w:rsid w:val="00FB5CC5"/>
    <w:rsid w:val="00FC0582"/>
    <w:rsid w:val="00FC1788"/>
    <w:rsid w:val="00FD105E"/>
    <w:rsid w:val="00FD3FE3"/>
    <w:rsid w:val="00FD4CFB"/>
    <w:rsid w:val="00FD54A9"/>
    <w:rsid w:val="00FE0484"/>
    <w:rsid w:val="00FE52A8"/>
    <w:rsid w:val="00FF044B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5F7C"/>
  <w15:chartTrackingRefBased/>
  <w15:docId w15:val="{105010A5-C14E-4836-8411-5C38871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30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230"/>
    <w:pPr>
      <w:ind w:left="720"/>
      <w:contextualSpacing/>
    </w:pPr>
  </w:style>
  <w:style w:type="paragraph" w:customStyle="1" w:styleId="Odlomakpopisa2">
    <w:name w:val="Odlomak popisa2"/>
    <w:basedOn w:val="Normal"/>
    <w:uiPriority w:val="34"/>
    <w:qFormat/>
    <w:rsid w:val="007102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2084</Words>
  <Characters>11884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Jandroković</dc:creator>
  <cp:keywords/>
  <dc:description/>
  <cp:lastModifiedBy>Andreja Jandroković</cp:lastModifiedBy>
  <cp:revision>149</cp:revision>
  <cp:lastPrinted>2025-11-05T10:25:00Z</cp:lastPrinted>
  <dcterms:created xsi:type="dcterms:W3CDTF">2024-11-04T07:11:00Z</dcterms:created>
  <dcterms:modified xsi:type="dcterms:W3CDTF">2025-11-06T12:54:00Z</dcterms:modified>
</cp:coreProperties>
</file>